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3C" w:rsidRPr="000769E7" w:rsidRDefault="00DE153C" w:rsidP="00DE153C">
      <w:pPr>
        <w:spacing w:after="0" w:line="360" w:lineRule="auto"/>
        <w:ind w:right="-285"/>
        <w:jc w:val="both"/>
        <w:rPr>
          <w:rFonts w:ascii="Palatino Linotype" w:hAnsi="Palatino Linotype" w:cs="Arial"/>
          <w:b/>
          <w:caps/>
          <w:sz w:val="24"/>
          <w:szCs w:val="24"/>
        </w:rPr>
      </w:pPr>
      <w:r w:rsidRPr="000769E7">
        <w:rPr>
          <w:rFonts w:ascii="Palatino Linotype" w:hAnsi="Palatino Linotype" w:cs="Arial"/>
          <w:b/>
          <w:caps/>
          <w:sz w:val="24"/>
          <w:szCs w:val="24"/>
        </w:rPr>
        <w:t>Excelentíssimo Senhor Conselheiro do Conselho Nacional de Justiça</w:t>
      </w:r>
    </w:p>
    <w:p w:rsidR="00DE153C" w:rsidRPr="000769E7" w:rsidRDefault="00DE153C" w:rsidP="00DE153C">
      <w:pPr>
        <w:spacing w:after="0" w:line="360" w:lineRule="auto"/>
        <w:ind w:right="-285"/>
        <w:jc w:val="both"/>
        <w:rPr>
          <w:rFonts w:ascii="Palatino Linotype" w:hAnsi="Palatino Linotype" w:cs="Arial"/>
          <w:b/>
          <w:sz w:val="24"/>
          <w:szCs w:val="24"/>
        </w:rPr>
      </w:pPr>
    </w:p>
    <w:p w:rsidR="00DE153C" w:rsidRPr="000769E7" w:rsidRDefault="00DE153C" w:rsidP="00DE153C">
      <w:pPr>
        <w:spacing w:after="0" w:line="360" w:lineRule="auto"/>
        <w:ind w:left="3540" w:right="-285"/>
        <w:jc w:val="both"/>
        <w:rPr>
          <w:rFonts w:ascii="Palatino Linotype" w:hAnsi="Palatino Linotype" w:cs="Arial"/>
          <w:sz w:val="24"/>
          <w:szCs w:val="24"/>
        </w:rPr>
      </w:pPr>
      <w:r w:rsidRPr="000769E7">
        <w:rPr>
          <w:rFonts w:ascii="Palatino Linotype" w:hAnsi="Palatino Linotype" w:cs="Arial"/>
          <w:sz w:val="24"/>
          <w:szCs w:val="24"/>
        </w:rPr>
        <w:t> </w:t>
      </w:r>
    </w:p>
    <w:p w:rsidR="00DE153C" w:rsidRPr="000769E7" w:rsidRDefault="00DE153C" w:rsidP="00DE153C">
      <w:pPr>
        <w:spacing w:after="0" w:line="360" w:lineRule="auto"/>
        <w:ind w:right="-285"/>
        <w:jc w:val="both"/>
        <w:rPr>
          <w:rFonts w:ascii="Palatino Linotype" w:hAnsi="Palatino Linotype"/>
        </w:rPr>
      </w:pPr>
      <w:r w:rsidRPr="000769E7">
        <w:rPr>
          <w:rFonts w:ascii="Palatino Linotype" w:hAnsi="Palatino Linotype" w:cs="Arial"/>
          <w:sz w:val="24"/>
          <w:szCs w:val="24"/>
        </w:rPr>
        <w:t xml:space="preserve">Pedido de Providências n. </w:t>
      </w:r>
      <w:r w:rsidRPr="000769E7">
        <w:rPr>
          <w:rFonts w:ascii="Palatino Linotype" w:hAnsi="Palatino Linotype"/>
        </w:rPr>
        <w:t>nº 0005077-24.2017.2.00.0000</w:t>
      </w:r>
    </w:p>
    <w:p w:rsidR="00DE153C" w:rsidRPr="000769E7" w:rsidRDefault="00DE153C" w:rsidP="00DE153C">
      <w:pPr>
        <w:spacing w:after="0" w:line="360" w:lineRule="auto"/>
        <w:ind w:right="-285"/>
        <w:jc w:val="both"/>
        <w:rPr>
          <w:rFonts w:ascii="Palatino Linotype" w:hAnsi="Palatino Linotype" w:cs="Arial"/>
          <w:sz w:val="24"/>
          <w:szCs w:val="24"/>
        </w:rPr>
      </w:pPr>
      <w:r w:rsidRPr="000769E7">
        <w:rPr>
          <w:rFonts w:ascii="Palatino Linotype" w:hAnsi="Palatino Linotype"/>
        </w:rPr>
        <w:t xml:space="preserve">Conselheiro: </w:t>
      </w:r>
      <w:r>
        <w:rPr>
          <w:rFonts w:ascii="Palatino Linotype" w:hAnsi="Palatino Linotype"/>
        </w:rPr>
        <w:t>Francisco Luciano de Azevedo Frota</w:t>
      </w:r>
    </w:p>
    <w:p w:rsidR="00DE153C" w:rsidRDefault="00DE153C" w:rsidP="00DE153C">
      <w:pPr>
        <w:spacing w:after="0" w:line="360" w:lineRule="auto"/>
        <w:ind w:right="-285"/>
        <w:jc w:val="both"/>
        <w:rPr>
          <w:rFonts w:ascii="Palatino Linotype" w:hAnsi="Palatino Linotype" w:cs="Arial"/>
          <w:sz w:val="24"/>
          <w:szCs w:val="24"/>
        </w:rPr>
      </w:pPr>
    </w:p>
    <w:p w:rsidR="00DE153C" w:rsidRDefault="00DE153C" w:rsidP="00DE153C">
      <w:pPr>
        <w:spacing w:after="0" w:line="360" w:lineRule="auto"/>
        <w:ind w:right="-285"/>
        <w:jc w:val="both"/>
        <w:rPr>
          <w:rFonts w:ascii="Palatino Linotype" w:hAnsi="Palatino Linotype" w:cs="Arial"/>
          <w:sz w:val="24"/>
          <w:szCs w:val="24"/>
        </w:rPr>
      </w:pPr>
    </w:p>
    <w:p w:rsidR="00DE153C" w:rsidRPr="000769E7" w:rsidRDefault="00DE153C" w:rsidP="00DE153C">
      <w:pPr>
        <w:spacing w:after="0" w:line="360" w:lineRule="auto"/>
        <w:ind w:right="-285"/>
        <w:jc w:val="both"/>
        <w:rPr>
          <w:rFonts w:ascii="Palatino Linotype" w:hAnsi="Palatino Linotype" w:cs="Arial"/>
          <w:sz w:val="24"/>
          <w:szCs w:val="24"/>
        </w:rPr>
      </w:pPr>
    </w:p>
    <w:p w:rsidR="00DE153C" w:rsidRPr="000769E7" w:rsidRDefault="00DE153C" w:rsidP="00DE153C">
      <w:pPr>
        <w:spacing w:after="0" w:line="360" w:lineRule="auto"/>
        <w:ind w:right="-285"/>
        <w:jc w:val="both"/>
        <w:rPr>
          <w:rFonts w:ascii="Palatino Linotype" w:hAnsi="Palatino Linotype" w:cs="Arial"/>
          <w:sz w:val="24"/>
          <w:szCs w:val="24"/>
        </w:rPr>
      </w:pPr>
    </w:p>
    <w:p w:rsidR="00DE153C" w:rsidRPr="000769E7" w:rsidRDefault="00DE153C" w:rsidP="00DE153C">
      <w:pPr>
        <w:spacing w:after="0" w:line="360" w:lineRule="auto"/>
        <w:ind w:right="-285"/>
        <w:jc w:val="both"/>
        <w:rPr>
          <w:rFonts w:ascii="Palatino Linotype" w:hAnsi="Palatino Linotype" w:cs="Arial"/>
          <w:b/>
          <w:sz w:val="24"/>
          <w:szCs w:val="24"/>
          <w:u w:val="single"/>
        </w:rPr>
      </w:pPr>
      <w:r w:rsidRPr="000769E7">
        <w:rPr>
          <w:rFonts w:ascii="Palatino Linotype" w:hAnsi="Palatino Linotype" w:cs="Arial"/>
          <w:b/>
          <w:bCs/>
          <w:spacing w:val="20"/>
          <w:sz w:val="24"/>
          <w:szCs w:val="24"/>
        </w:rPr>
        <w:tab/>
      </w:r>
      <w:r w:rsidRPr="000769E7">
        <w:rPr>
          <w:rFonts w:ascii="Palatino Linotype" w:hAnsi="Palatino Linotype" w:cs="Arial"/>
          <w:b/>
          <w:bCs/>
          <w:spacing w:val="20"/>
          <w:sz w:val="24"/>
          <w:szCs w:val="24"/>
        </w:rPr>
        <w:tab/>
      </w:r>
      <w:r w:rsidRPr="000769E7">
        <w:rPr>
          <w:rFonts w:ascii="Palatino Linotype" w:hAnsi="Palatino Linotype" w:cs="Arial"/>
          <w:b/>
          <w:bCs/>
          <w:spacing w:val="20"/>
          <w:sz w:val="24"/>
          <w:szCs w:val="24"/>
        </w:rPr>
        <w:tab/>
        <w:t>AMPB – ASSOCIAÇÃO DOS MAGISTRADOS DA PARAÍBA</w:t>
      </w:r>
      <w:r w:rsidRPr="000769E7">
        <w:rPr>
          <w:rFonts w:ascii="Palatino Linotype" w:eastAsia="Batang" w:hAnsi="Palatino Linotype" w:cs="Arial"/>
          <w:b/>
          <w:spacing w:val="20"/>
          <w:sz w:val="24"/>
          <w:szCs w:val="24"/>
        </w:rPr>
        <w:t xml:space="preserve">, inscrita no </w:t>
      </w:r>
      <w:r w:rsidRPr="000769E7">
        <w:rPr>
          <w:rFonts w:ascii="Palatino Linotype" w:hAnsi="Palatino Linotype" w:cs="Arial"/>
          <w:sz w:val="24"/>
          <w:szCs w:val="24"/>
        </w:rPr>
        <w:t xml:space="preserve">CGC/CNPJ sob o nº 09.169.871/0001-08, agindo dentro das finalidades previstas </w:t>
      </w:r>
      <w:smartTag w:uri="urn:schemas-microsoft-com:office:smarttags" w:element="PersonName">
        <w:smartTagPr>
          <w:attr w:name="ProductID" w:val="em seu Estatuto"/>
        </w:smartTagPr>
        <w:r w:rsidRPr="000769E7">
          <w:rPr>
            <w:rFonts w:ascii="Palatino Linotype" w:hAnsi="Palatino Linotype" w:cs="Arial"/>
            <w:sz w:val="24"/>
            <w:szCs w:val="24"/>
          </w:rPr>
          <w:t>em seu Estatuto</w:t>
        </w:r>
      </w:smartTag>
      <w:r w:rsidRPr="000769E7">
        <w:rPr>
          <w:rFonts w:ascii="Palatino Linotype" w:hAnsi="Palatino Linotype" w:cs="Arial"/>
          <w:sz w:val="24"/>
          <w:szCs w:val="24"/>
        </w:rPr>
        <w:t xml:space="preserve"> (acostado), vem perante Vossa Excelência, com o respeito de estilo, expor e, ao </w:t>
      </w:r>
      <w:proofErr w:type="spellStart"/>
      <w:proofErr w:type="gramStart"/>
      <w:r w:rsidRPr="000769E7">
        <w:rPr>
          <w:rFonts w:ascii="Palatino Linotype" w:hAnsi="Palatino Linotype" w:cs="Arial"/>
          <w:sz w:val="24"/>
          <w:szCs w:val="24"/>
        </w:rPr>
        <w:t>final,</w:t>
      </w:r>
      <w:proofErr w:type="gramEnd"/>
      <w:r w:rsidRPr="000769E7">
        <w:rPr>
          <w:rFonts w:ascii="Palatino Linotype" w:hAnsi="Palatino Linotype" w:cs="Arial"/>
          <w:sz w:val="24"/>
          <w:szCs w:val="24"/>
        </w:rPr>
        <w:t>requerer</w:t>
      </w:r>
      <w:proofErr w:type="spellEnd"/>
      <w:r w:rsidRPr="000769E7">
        <w:rPr>
          <w:rFonts w:ascii="Palatino Linotype" w:hAnsi="Palatino Linotype" w:cs="Arial"/>
          <w:sz w:val="24"/>
          <w:szCs w:val="24"/>
        </w:rPr>
        <w:t>:</w:t>
      </w:r>
    </w:p>
    <w:p w:rsidR="00DE153C" w:rsidRPr="000769E7" w:rsidRDefault="00DE153C" w:rsidP="00DE153C">
      <w:pPr>
        <w:spacing w:after="0" w:line="360" w:lineRule="auto"/>
        <w:ind w:right="-285"/>
        <w:jc w:val="both"/>
        <w:rPr>
          <w:rFonts w:ascii="Palatino Linotype" w:hAnsi="Palatino Linotype" w:cs="Arial"/>
          <w:sz w:val="24"/>
          <w:szCs w:val="24"/>
        </w:rPr>
      </w:pPr>
    </w:p>
    <w:p w:rsidR="00DE153C" w:rsidRPr="000769E7" w:rsidRDefault="00DE153C" w:rsidP="00DE153C">
      <w:pPr>
        <w:spacing w:after="0" w:line="360" w:lineRule="auto"/>
        <w:jc w:val="both"/>
        <w:rPr>
          <w:rFonts w:ascii="Palatino Linotype" w:hAnsi="Palatino Linotype" w:cs="Arial"/>
          <w:sz w:val="24"/>
          <w:szCs w:val="24"/>
        </w:rPr>
      </w:pPr>
      <w:r w:rsidRPr="000769E7">
        <w:rPr>
          <w:rFonts w:ascii="Palatino Linotype" w:hAnsi="Palatino Linotype" w:cs="Arial"/>
          <w:sz w:val="24"/>
          <w:szCs w:val="24"/>
        </w:rPr>
        <w:tab/>
      </w:r>
      <w:r w:rsidRPr="000769E7">
        <w:rPr>
          <w:rFonts w:ascii="Palatino Linotype" w:hAnsi="Palatino Linotype" w:cs="Arial"/>
          <w:sz w:val="24"/>
          <w:szCs w:val="24"/>
        </w:rPr>
        <w:tab/>
      </w:r>
      <w:r w:rsidRPr="000769E7">
        <w:rPr>
          <w:rFonts w:ascii="Palatino Linotype" w:hAnsi="Palatino Linotype" w:cs="Arial"/>
          <w:sz w:val="24"/>
          <w:szCs w:val="24"/>
        </w:rPr>
        <w:tab/>
        <w:t>A Resolução 219, de 26 de abril de 2016 (alterada pela Resolução 243, de 9 de setembro de 2016), que dispõe sobre a distribuição de servidores, de cargos em comissão e de funções de confiança nos órgãos do Poder Judiciário de 1º e 2º graus, estabeleceu a data de 1º de julho de 2017, como prazo limite para a implementação integral da referida norma.</w:t>
      </w:r>
    </w:p>
    <w:p w:rsidR="00DE153C" w:rsidRPr="000769E7" w:rsidRDefault="00DE153C" w:rsidP="00DE153C">
      <w:pPr>
        <w:spacing w:after="0" w:line="360" w:lineRule="auto"/>
        <w:jc w:val="both"/>
        <w:rPr>
          <w:rFonts w:ascii="Palatino Linotype" w:hAnsi="Palatino Linotype" w:cs="Arial"/>
          <w:sz w:val="24"/>
          <w:szCs w:val="24"/>
        </w:rPr>
      </w:pPr>
    </w:p>
    <w:p w:rsidR="00237E35" w:rsidRDefault="00DE153C" w:rsidP="00DE153C">
      <w:pPr>
        <w:spacing w:after="0" w:line="360" w:lineRule="auto"/>
        <w:jc w:val="both"/>
        <w:rPr>
          <w:rFonts w:ascii="Palatino Linotype" w:hAnsi="Palatino Linotype" w:cs="Arial"/>
          <w:sz w:val="24"/>
          <w:szCs w:val="24"/>
        </w:rPr>
      </w:pPr>
      <w:r w:rsidRPr="000769E7">
        <w:rPr>
          <w:rFonts w:ascii="Palatino Linotype" w:hAnsi="Palatino Linotype" w:cs="Arial"/>
          <w:sz w:val="24"/>
          <w:szCs w:val="24"/>
        </w:rPr>
        <w:tab/>
      </w:r>
      <w:r w:rsidRPr="000769E7">
        <w:rPr>
          <w:rFonts w:ascii="Palatino Linotype" w:hAnsi="Palatino Linotype" w:cs="Arial"/>
          <w:sz w:val="24"/>
          <w:szCs w:val="24"/>
        </w:rPr>
        <w:tab/>
      </w:r>
      <w:r w:rsidRPr="000769E7">
        <w:rPr>
          <w:rFonts w:ascii="Palatino Linotype" w:hAnsi="Palatino Linotype" w:cs="Arial"/>
          <w:sz w:val="24"/>
          <w:szCs w:val="24"/>
        </w:rPr>
        <w:tab/>
      </w:r>
      <w:r w:rsidR="00237E35">
        <w:rPr>
          <w:rFonts w:ascii="Palatino Linotype" w:hAnsi="Palatino Linotype" w:cs="Arial"/>
          <w:sz w:val="24"/>
          <w:szCs w:val="24"/>
        </w:rPr>
        <w:t xml:space="preserve">Mais de dois anos depois do prazo final para que fosse posta em execução, pouco se tem caminhado, no âmbito do Tribunal de Justiça da Paraíba, rumo ao seu integral cumprimento. </w:t>
      </w:r>
    </w:p>
    <w:p w:rsidR="00237E35" w:rsidRDefault="00237E35" w:rsidP="00DE153C">
      <w:pPr>
        <w:spacing w:after="0" w:line="360" w:lineRule="auto"/>
        <w:jc w:val="both"/>
        <w:rPr>
          <w:rFonts w:ascii="Palatino Linotype" w:hAnsi="Palatino Linotype" w:cs="Arial"/>
          <w:sz w:val="24"/>
          <w:szCs w:val="24"/>
        </w:rPr>
      </w:pPr>
    </w:p>
    <w:p w:rsidR="00237E35" w:rsidRDefault="00237E35" w:rsidP="00DE153C">
      <w:pPr>
        <w:spacing w:after="0" w:line="360" w:lineRule="auto"/>
        <w:jc w:val="both"/>
        <w:rPr>
          <w:rFonts w:ascii="Palatino Linotype" w:hAnsi="Palatino Linotype" w:cs="Arial"/>
          <w:sz w:val="24"/>
          <w:szCs w:val="24"/>
        </w:rPr>
      </w:pPr>
      <w:r>
        <w:rPr>
          <w:rFonts w:ascii="Palatino Linotype" w:hAnsi="Palatino Linotype" w:cs="Arial"/>
          <w:sz w:val="24"/>
          <w:szCs w:val="24"/>
        </w:rPr>
        <w:tab/>
      </w:r>
      <w:r>
        <w:rPr>
          <w:rFonts w:ascii="Palatino Linotype" w:hAnsi="Palatino Linotype" w:cs="Arial"/>
          <w:sz w:val="24"/>
          <w:szCs w:val="24"/>
        </w:rPr>
        <w:tab/>
      </w:r>
      <w:r>
        <w:rPr>
          <w:rFonts w:ascii="Palatino Linotype" w:hAnsi="Palatino Linotype" w:cs="Arial"/>
          <w:sz w:val="24"/>
          <w:szCs w:val="24"/>
        </w:rPr>
        <w:tab/>
        <w:t xml:space="preserve">Registre-se, em primeiro lugar, que a última reunião de trabalho do Comitê Gestor Regional de Atenção Prioritária ao Primeiro Grau </w:t>
      </w:r>
      <w:r>
        <w:rPr>
          <w:rFonts w:ascii="Palatino Linotype" w:hAnsi="Palatino Linotype" w:cs="Arial"/>
          <w:sz w:val="24"/>
          <w:szCs w:val="24"/>
        </w:rPr>
        <w:lastRenderedPageBreak/>
        <w:t xml:space="preserve">ocorreu </w:t>
      </w:r>
      <w:r w:rsidR="00824CE9">
        <w:rPr>
          <w:rFonts w:ascii="Palatino Linotype" w:hAnsi="Palatino Linotype" w:cs="Arial"/>
          <w:sz w:val="24"/>
          <w:szCs w:val="24"/>
        </w:rPr>
        <w:t xml:space="preserve">no final de 2018 (ata ainda não disponível no site do TJPB, até a da data de hoje). </w:t>
      </w:r>
      <w:r w:rsidR="00E81DC8">
        <w:rPr>
          <w:rFonts w:ascii="Palatino Linotype" w:hAnsi="Palatino Linotype" w:cs="Arial"/>
          <w:sz w:val="24"/>
          <w:szCs w:val="24"/>
        </w:rPr>
        <w:t>Neste ano, a única reunião realizada e, mesmo assim de forma conjunta como o Comitê Orçamentário, ocorreu em 07.06.2019 (ata não disponível no site do TJPB, até o momento).</w:t>
      </w:r>
    </w:p>
    <w:p w:rsidR="00E81DC8" w:rsidRDefault="00E81DC8" w:rsidP="00DE153C">
      <w:pPr>
        <w:spacing w:after="0" w:line="360" w:lineRule="auto"/>
        <w:jc w:val="both"/>
        <w:rPr>
          <w:rFonts w:ascii="Palatino Linotype" w:hAnsi="Palatino Linotype" w:cs="Arial"/>
          <w:sz w:val="24"/>
          <w:szCs w:val="24"/>
        </w:rPr>
      </w:pPr>
    </w:p>
    <w:p w:rsidR="00E81DC8" w:rsidRDefault="00E81DC8" w:rsidP="00DE153C">
      <w:pPr>
        <w:spacing w:after="0" w:line="360" w:lineRule="auto"/>
        <w:jc w:val="both"/>
        <w:rPr>
          <w:rFonts w:ascii="Palatino Linotype" w:hAnsi="Palatino Linotype" w:cs="Arial"/>
          <w:sz w:val="24"/>
          <w:szCs w:val="24"/>
        </w:rPr>
      </w:pPr>
      <w:r>
        <w:rPr>
          <w:rFonts w:ascii="Palatino Linotype" w:hAnsi="Palatino Linotype" w:cs="Arial"/>
          <w:sz w:val="24"/>
          <w:szCs w:val="24"/>
        </w:rPr>
        <w:tab/>
      </w:r>
      <w:r>
        <w:rPr>
          <w:rFonts w:ascii="Palatino Linotype" w:hAnsi="Palatino Linotype" w:cs="Arial"/>
          <w:sz w:val="24"/>
          <w:szCs w:val="24"/>
        </w:rPr>
        <w:tab/>
      </w:r>
      <w:r>
        <w:rPr>
          <w:rFonts w:ascii="Palatino Linotype" w:hAnsi="Palatino Linotype" w:cs="Arial"/>
          <w:sz w:val="24"/>
          <w:szCs w:val="24"/>
        </w:rPr>
        <w:tab/>
        <w:t xml:space="preserve">Vê-se, pois, que as políticas de democratização e gestão colaborativa, na forma como instituídas pelas Resoluções </w:t>
      </w:r>
      <w:proofErr w:type="spellStart"/>
      <w:r>
        <w:rPr>
          <w:rFonts w:ascii="Palatino Linotype" w:hAnsi="Palatino Linotype" w:cs="Arial"/>
          <w:sz w:val="24"/>
          <w:szCs w:val="24"/>
        </w:rPr>
        <w:t>ns</w:t>
      </w:r>
      <w:proofErr w:type="spellEnd"/>
      <w:r>
        <w:rPr>
          <w:rFonts w:ascii="Palatino Linotype" w:hAnsi="Palatino Linotype" w:cs="Arial"/>
          <w:sz w:val="24"/>
          <w:szCs w:val="24"/>
        </w:rPr>
        <w:t>. 194/2014 e 195/2014,</w:t>
      </w:r>
      <w:r w:rsidR="00E05FA9">
        <w:rPr>
          <w:rFonts w:ascii="Palatino Linotype" w:hAnsi="Palatino Linotype" w:cs="Arial"/>
          <w:sz w:val="24"/>
          <w:szCs w:val="24"/>
        </w:rPr>
        <w:t xml:space="preserve"> </w:t>
      </w:r>
      <w:r>
        <w:rPr>
          <w:rFonts w:ascii="Palatino Linotype" w:hAnsi="Palatino Linotype" w:cs="Arial"/>
          <w:sz w:val="24"/>
          <w:szCs w:val="24"/>
        </w:rPr>
        <w:t>estão sendo negligenciadas, em face da falta de regularidade e periodicidade das reuniões dos comitês.</w:t>
      </w:r>
    </w:p>
    <w:p w:rsidR="00E81DC8" w:rsidRDefault="00E81DC8" w:rsidP="00DE153C">
      <w:pPr>
        <w:spacing w:after="0" w:line="360" w:lineRule="auto"/>
        <w:jc w:val="both"/>
        <w:rPr>
          <w:rFonts w:ascii="Palatino Linotype" w:hAnsi="Palatino Linotype" w:cs="Arial"/>
          <w:sz w:val="24"/>
          <w:szCs w:val="24"/>
        </w:rPr>
      </w:pPr>
    </w:p>
    <w:p w:rsidR="00237E35" w:rsidRDefault="00E81DC8" w:rsidP="00E81DC8">
      <w:pPr>
        <w:spacing w:after="0" w:line="360" w:lineRule="auto"/>
        <w:ind w:firstLine="2127"/>
        <w:jc w:val="both"/>
        <w:rPr>
          <w:rFonts w:ascii="Palatino Linotype" w:hAnsi="Palatino Linotype" w:cs="Arial"/>
          <w:sz w:val="24"/>
          <w:szCs w:val="24"/>
        </w:rPr>
      </w:pPr>
      <w:r>
        <w:rPr>
          <w:rFonts w:ascii="Palatino Linotype" w:hAnsi="Palatino Linotype" w:cs="Arial"/>
          <w:sz w:val="24"/>
          <w:szCs w:val="24"/>
        </w:rPr>
        <w:t xml:space="preserve">Vale ressaltar que o fato de uma nova mesa diretora do TJPB haver assumido em 1º de fevereiro do corrente ano não deveria impor solução de continuidade </w:t>
      </w:r>
      <w:r w:rsidR="004A6410">
        <w:rPr>
          <w:rFonts w:ascii="Palatino Linotype" w:hAnsi="Palatino Linotype" w:cs="Arial"/>
          <w:sz w:val="24"/>
          <w:szCs w:val="24"/>
        </w:rPr>
        <w:t xml:space="preserve">– o que, de fato, ocorreu – </w:t>
      </w:r>
      <w:r>
        <w:rPr>
          <w:rFonts w:ascii="Palatino Linotype" w:hAnsi="Palatino Linotype" w:cs="Arial"/>
          <w:sz w:val="24"/>
          <w:szCs w:val="24"/>
        </w:rPr>
        <w:t>ao trabalho que vinha sendo desenvolvido pelos Comitês de Priorização e Orçamentário. De igual forma e, mesmo diante da proximidade do fim do mandato dos seus integrantes (o Comitê Orçamentário foi recomposto recentemente</w:t>
      </w:r>
      <w:r w:rsidR="004A6410">
        <w:rPr>
          <w:rFonts w:ascii="Palatino Linotype" w:hAnsi="Palatino Linotype" w:cs="Arial"/>
          <w:sz w:val="24"/>
          <w:szCs w:val="24"/>
        </w:rPr>
        <w:t xml:space="preserve"> –</w:t>
      </w:r>
      <w:hyperlink r:id="rId9" w:history="1">
        <w:r w:rsidR="004A6410" w:rsidRPr="006A0DC3">
          <w:rPr>
            <w:rStyle w:val="Hyperlink"/>
            <w:rFonts w:ascii="Palatino Linotype" w:hAnsi="Palatino Linotype" w:cs="Arial"/>
            <w:sz w:val="24"/>
            <w:szCs w:val="24"/>
          </w:rPr>
          <w:t>https://www.tjpb.jus.br/noticia/comissao-especial-divulga-lista-de-juizes-e-servidores-para-o-compor-comite-orcamentario-de</w:t>
        </w:r>
      </w:hyperlink>
      <w:r w:rsidR="004A6410">
        <w:rPr>
          <w:rFonts w:ascii="Palatino Linotype" w:hAnsi="Palatino Linotype" w:cs="Arial"/>
          <w:sz w:val="24"/>
          <w:szCs w:val="24"/>
        </w:rPr>
        <w:t xml:space="preserve"> –</w:t>
      </w:r>
      <w:r>
        <w:rPr>
          <w:rFonts w:ascii="Palatino Linotype" w:hAnsi="Palatino Linotype" w:cs="Arial"/>
          <w:sz w:val="24"/>
          <w:szCs w:val="24"/>
        </w:rPr>
        <w:t>, e o de Priorização está em processo de eleição</w:t>
      </w:r>
      <w:r w:rsidR="004A6410">
        <w:rPr>
          <w:rFonts w:ascii="Palatino Linotype" w:hAnsi="Palatino Linotype" w:cs="Arial"/>
          <w:sz w:val="24"/>
          <w:szCs w:val="24"/>
        </w:rPr>
        <w:t xml:space="preserve"> – </w:t>
      </w:r>
      <w:hyperlink r:id="rId10" w:history="1">
        <w:r w:rsidR="004A6410">
          <w:rPr>
            <w:rStyle w:val="Hyperlink"/>
          </w:rPr>
          <w:t>https://www.tjpb.jus.br/programas-e-projetos/priorizacao-de-primeiro-grau/eleicao-do-comite-de-priorizacao</w:t>
        </w:r>
      </w:hyperlink>
      <w:r>
        <w:rPr>
          <w:rFonts w:ascii="Palatino Linotype" w:hAnsi="Palatino Linotype" w:cs="Arial"/>
          <w:sz w:val="24"/>
          <w:szCs w:val="24"/>
        </w:rPr>
        <w:t xml:space="preserve">), não se pode dispensar as reuniões e deliberações periódicas, sob pena de se reduzir em </w:t>
      </w:r>
      <w:r w:rsidR="004A6410">
        <w:rPr>
          <w:rFonts w:ascii="Palatino Linotype" w:hAnsi="Palatino Linotype" w:cs="Arial"/>
          <w:sz w:val="24"/>
          <w:szCs w:val="24"/>
        </w:rPr>
        <w:t xml:space="preserve">muitos </w:t>
      </w:r>
      <w:r>
        <w:rPr>
          <w:rFonts w:ascii="Palatino Linotype" w:hAnsi="Palatino Linotype" w:cs="Arial"/>
          <w:sz w:val="24"/>
          <w:szCs w:val="24"/>
        </w:rPr>
        <w:t xml:space="preserve">meses a atuação desses importantes espaços de discussão e colaboração. </w:t>
      </w:r>
    </w:p>
    <w:p w:rsidR="00DE153C" w:rsidRPr="000769E7" w:rsidRDefault="00DE153C" w:rsidP="00DE153C">
      <w:pPr>
        <w:spacing w:after="0" w:line="360" w:lineRule="auto"/>
        <w:ind w:firstLine="2124"/>
        <w:jc w:val="both"/>
        <w:rPr>
          <w:rFonts w:ascii="Palatino Linotype" w:hAnsi="Palatino Linotype" w:cs="Arial"/>
          <w:sz w:val="24"/>
          <w:szCs w:val="24"/>
        </w:rPr>
      </w:pPr>
    </w:p>
    <w:p w:rsidR="00DE153C" w:rsidRDefault="004A6410" w:rsidP="00DE153C">
      <w:pPr>
        <w:spacing w:after="0" w:line="360" w:lineRule="auto"/>
        <w:ind w:firstLine="2124"/>
        <w:jc w:val="both"/>
        <w:rPr>
          <w:rFonts w:ascii="Palatino Linotype" w:hAnsi="Palatino Linotype" w:cs="Arial"/>
          <w:sz w:val="24"/>
          <w:szCs w:val="24"/>
        </w:rPr>
      </w:pPr>
      <w:r>
        <w:rPr>
          <w:rFonts w:ascii="Palatino Linotype" w:hAnsi="Palatino Linotype" w:cs="Arial"/>
          <w:sz w:val="24"/>
          <w:szCs w:val="24"/>
        </w:rPr>
        <w:t xml:space="preserve">Em resumo e ainda que tenha sido deferida liminar nestes autos de Pedido de Providência, no sentido de determinar que o TJPB realize eleições para o Comitê Gestor Regional de Priorização, </w:t>
      </w:r>
      <w:r w:rsidR="0088085D">
        <w:rPr>
          <w:rFonts w:ascii="Palatino Linotype" w:hAnsi="Palatino Linotype" w:cs="Arial"/>
          <w:sz w:val="24"/>
          <w:szCs w:val="24"/>
        </w:rPr>
        <w:t>o mandamento</w:t>
      </w:r>
      <w:r w:rsidR="00DE153C" w:rsidRPr="000769E7">
        <w:rPr>
          <w:rFonts w:ascii="Palatino Linotype" w:hAnsi="Palatino Linotype" w:cs="Arial"/>
          <w:sz w:val="24"/>
          <w:szCs w:val="24"/>
        </w:rPr>
        <w:t xml:space="preserve"> não modificou a postura adotada pelo Tribunal de Justiça do Estado da Paraíba, eis </w:t>
      </w:r>
      <w:r w:rsidR="00DE153C" w:rsidRPr="000769E7">
        <w:rPr>
          <w:rFonts w:ascii="Palatino Linotype" w:hAnsi="Palatino Linotype" w:cs="Arial"/>
          <w:sz w:val="24"/>
          <w:szCs w:val="24"/>
        </w:rPr>
        <w:lastRenderedPageBreak/>
        <w:t>que continua a planejar executar a equalização da força de trabalho</w:t>
      </w:r>
      <w:r>
        <w:rPr>
          <w:rFonts w:ascii="Palatino Linotype" w:hAnsi="Palatino Linotype" w:cs="Arial"/>
          <w:sz w:val="24"/>
          <w:szCs w:val="24"/>
        </w:rPr>
        <w:t>, distribuição de cargos</w:t>
      </w:r>
      <w:r w:rsidR="00DE153C" w:rsidRPr="000769E7">
        <w:rPr>
          <w:rFonts w:ascii="Palatino Linotype" w:hAnsi="Palatino Linotype" w:cs="Arial"/>
          <w:sz w:val="24"/>
          <w:szCs w:val="24"/>
        </w:rPr>
        <w:t xml:space="preserve"> e as demais regras da Resolução</w:t>
      </w:r>
      <w:r>
        <w:rPr>
          <w:rFonts w:ascii="Palatino Linotype" w:hAnsi="Palatino Linotype" w:cs="Arial"/>
          <w:sz w:val="24"/>
          <w:szCs w:val="24"/>
        </w:rPr>
        <w:t xml:space="preserve"> n.</w:t>
      </w:r>
      <w:r w:rsidR="00DE153C" w:rsidRPr="000769E7">
        <w:rPr>
          <w:rFonts w:ascii="Palatino Linotype" w:hAnsi="Palatino Linotype" w:cs="Arial"/>
          <w:sz w:val="24"/>
          <w:szCs w:val="24"/>
        </w:rPr>
        <w:t xml:space="preserve"> 219/16 sem atribuir ao Comitê o protagonismo na condução dos trabalhos</w:t>
      </w:r>
      <w:r w:rsidR="0088085D">
        <w:rPr>
          <w:rFonts w:ascii="Palatino Linotype" w:hAnsi="Palatino Linotype" w:cs="Arial"/>
          <w:sz w:val="24"/>
          <w:szCs w:val="24"/>
        </w:rPr>
        <w:t xml:space="preserve">. </w:t>
      </w:r>
      <w:r w:rsidR="00DE153C" w:rsidRPr="000769E7">
        <w:rPr>
          <w:rFonts w:ascii="Palatino Linotype" w:hAnsi="Palatino Linotype" w:cs="Arial"/>
          <w:sz w:val="24"/>
          <w:szCs w:val="24"/>
        </w:rPr>
        <w:t xml:space="preserve"> </w:t>
      </w:r>
    </w:p>
    <w:p w:rsidR="0088085D" w:rsidRDefault="0088085D" w:rsidP="00DE153C">
      <w:pPr>
        <w:spacing w:after="0" w:line="360" w:lineRule="auto"/>
        <w:ind w:firstLine="2124"/>
        <w:jc w:val="both"/>
        <w:rPr>
          <w:rFonts w:ascii="Palatino Linotype" w:hAnsi="Palatino Linotype" w:cs="Arial"/>
          <w:sz w:val="24"/>
          <w:szCs w:val="24"/>
        </w:rPr>
      </w:pPr>
    </w:p>
    <w:p w:rsidR="00377A6F" w:rsidRDefault="0088085D" w:rsidP="00DE153C">
      <w:pPr>
        <w:spacing w:after="0" w:line="360" w:lineRule="auto"/>
        <w:ind w:firstLine="2124"/>
        <w:jc w:val="both"/>
        <w:rPr>
          <w:rFonts w:ascii="Palatino Linotype" w:hAnsi="Palatino Linotype" w:cs="Arial"/>
          <w:sz w:val="24"/>
          <w:szCs w:val="24"/>
        </w:rPr>
      </w:pPr>
      <w:r>
        <w:rPr>
          <w:rFonts w:ascii="Palatino Linotype" w:hAnsi="Palatino Linotype" w:cs="Arial"/>
          <w:sz w:val="24"/>
          <w:szCs w:val="24"/>
        </w:rPr>
        <w:t xml:space="preserve">Dessa forma, a administração do TJPB vem atuando e intitulando suas ações de “priorização do 1º grau”, mas não tem ouvido ou considerado as deliberações do Comitê Regional de Priorização. </w:t>
      </w:r>
    </w:p>
    <w:p w:rsidR="00377A6F" w:rsidRDefault="00377A6F" w:rsidP="00DE153C">
      <w:pPr>
        <w:spacing w:after="0" w:line="360" w:lineRule="auto"/>
        <w:ind w:firstLine="2124"/>
        <w:jc w:val="both"/>
        <w:rPr>
          <w:rFonts w:ascii="Palatino Linotype" w:hAnsi="Palatino Linotype" w:cs="Arial"/>
          <w:sz w:val="24"/>
          <w:szCs w:val="24"/>
        </w:rPr>
      </w:pPr>
    </w:p>
    <w:p w:rsidR="0088085D" w:rsidRPr="000769E7" w:rsidRDefault="0088085D" w:rsidP="00DE153C">
      <w:pPr>
        <w:spacing w:after="0" w:line="360" w:lineRule="auto"/>
        <w:ind w:firstLine="2124"/>
        <w:jc w:val="both"/>
        <w:rPr>
          <w:rFonts w:ascii="Palatino Linotype" w:hAnsi="Palatino Linotype" w:cs="Arial"/>
          <w:sz w:val="24"/>
          <w:szCs w:val="24"/>
        </w:rPr>
      </w:pPr>
      <w:r>
        <w:rPr>
          <w:rFonts w:ascii="Palatino Linotype" w:hAnsi="Palatino Linotype" w:cs="Arial"/>
          <w:sz w:val="24"/>
          <w:szCs w:val="24"/>
        </w:rPr>
        <w:t>Ademais e no que diz respeito especificamente ao cumprimento da Resolução n. 219/2016, descortina-se o seguinte panorama:</w:t>
      </w:r>
    </w:p>
    <w:p w:rsidR="00DE153C" w:rsidRPr="000769E7" w:rsidRDefault="00DE153C" w:rsidP="00DE153C">
      <w:pPr>
        <w:spacing w:after="0" w:line="360" w:lineRule="auto"/>
        <w:ind w:firstLine="2124"/>
        <w:jc w:val="both"/>
        <w:rPr>
          <w:rFonts w:ascii="Palatino Linotype" w:hAnsi="Palatino Linotype" w:cs="Arial"/>
          <w:sz w:val="24"/>
          <w:szCs w:val="24"/>
        </w:rPr>
      </w:pPr>
    </w:p>
    <w:p w:rsidR="00DE153C" w:rsidRDefault="00DE153C" w:rsidP="00DE153C">
      <w:pPr>
        <w:spacing w:after="0" w:line="360" w:lineRule="auto"/>
        <w:jc w:val="both"/>
        <w:rPr>
          <w:rFonts w:ascii="Palatino Linotype" w:hAnsi="Palatino Linotype" w:cs="Arial"/>
          <w:sz w:val="24"/>
          <w:szCs w:val="24"/>
        </w:rPr>
      </w:pPr>
    </w:p>
    <w:p w:rsidR="00DE153C" w:rsidRPr="00854D56" w:rsidRDefault="00DE153C" w:rsidP="00DE153C">
      <w:pPr>
        <w:spacing w:after="0" w:line="360" w:lineRule="auto"/>
        <w:jc w:val="both"/>
        <w:rPr>
          <w:rFonts w:ascii="Palatino Linotype" w:hAnsi="Palatino Linotype" w:cs="Arial"/>
          <w:b/>
          <w:sz w:val="24"/>
          <w:szCs w:val="24"/>
        </w:rPr>
      </w:pPr>
      <w:r w:rsidRPr="00854D56">
        <w:rPr>
          <w:rFonts w:ascii="Palatino Linotype" w:hAnsi="Palatino Linotype" w:cs="Arial"/>
          <w:b/>
          <w:sz w:val="24"/>
          <w:szCs w:val="24"/>
        </w:rPr>
        <w:t>1. CUMPRIMENTO DO ART. 3º DA RESOLUÇÃO 219/16</w:t>
      </w:r>
      <w:r>
        <w:rPr>
          <w:rFonts w:ascii="Palatino Linotype" w:hAnsi="Palatino Linotype" w:cs="Arial"/>
          <w:b/>
          <w:sz w:val="24"/>
          <w:szCs w:val="24"/>
        </w:rPr>
        <w:t xml:space="preserve"> – MOVIMENTAÇÃO DE SERVIDORES PARA O 1º GRAU</w:t>
      </w:r>
    </w:p>
    <w:p w:rsidR="00DE153C" w:rsidRPr="008A68CB" w:rsidRDefault="00DE153C" w:rsidP="00DE153C">
      <w:pPr>
        <w:pStyle w:val="PargrafodaLista"/>
        <w:spacing w:after="0" w:line="360" w:lineRule="auto"/>
        <w:jc w:val="both"/>
        <w:rPr>
          <w:rFonts w:ascii="Palatino Linotype" w:hAnsi="Palatino Linotype" w:cs="Arial"/>
          <w:sz w:val="24"/>
          <w:szCs w:val="24"/>
        </w:rPr>
      </w:pPr>
    </w:p>
    <w:p w:rsidR="00A72703" w:rsidRDefault="00DE153C" w:rsidP="00A72703">
      <w:pPr>
        <w:spacing w:after="0" w:line="360" w:lineRule="auto"/>
        <w:jc w:val="both"/>
        <w:rPr>
          <w:rFonts w:ascii="Palatino Linotype" w:hAnsi="Palatino Linotype" w:cs="Arial"/>
          <w:sz w:val="24"/>
          <w:szCs w:val="24"/>
        </w:rPr>
      </w:pPr>
      <w:r w:rsidRPr="000769E7">
        <w:rPr>
          <w:rFonts w:ascii="Palatino Linotype" w:hAnsi="Palatino Linotype" w:cs="Arial"/>
          <w:sz w:val="24"/>
          <w:szCs w:val="24"/>
        </w:rPr>
        <w:tab/>
      </w:r>
      <w:r w:rsidRPr="000769E7">
        <w:rPr>
          <w:rFonts w:ascii="Palatino Linotype" w:hAnsi="Palatino Linotype" w:cs="Arial"/>
          <w:sz w:val="24"/>
          <w:szCs w:val="24"/>
        </w:rPr>
        <w:tab/>
      </w:r>
      <w:r w:rsidRPr="000769E7">
        <w:rPr>
          <w:rFonts w:ascii="Palatino Linotype" w:hAnsi="Palatino Linotype" w:cs="Arial"/>
          <w:sz w:val="24"/>
          <w:szCs w:val="24"/>
        </w:rPr>
        <w:tab/>
      </w:r>
      <w:r w:rsidR="0088085D">
        <w:rPr>
          <w:rFonts w:ascii="Palatino Linotype" w:hAnsi="Palatino Linotype" w:cs="Arial"/>
          <w:sz w:val="24"/>
          <w:szCs w:val="24"/>
        </w:rPr>
        <w:t xml:space="preserve">Em que pese </w:t>
      </w:r>
      <w:r w:rsidR="00377A6F">
        <w:rPr>
          <w:rFonts w:ascii="Palatino Linotype" w:hAnsi="Palatino Linotype" w:cs="Arial"/>
          <w:sz w:val="24"/>
          <w:szCs w:val="24"/>
        </w:rPr>
        <w:t xml:space="preserve">haver diminuído </w:t>
      </w:r>
      <w:r w:rsidR="0088085D">
        <w:rPr>
          <w:rFonts w:ascii="Palatino Linotype" w:hAnsi="Palatino Linotype" w:cs="Arial"/>
          <w:sz w:val="24"/>
          <w:szCs w:val="24"/>
        </w:rPr>
        <w:t xml:space="preserve">a quantidade de servidores a </w:t>
      </w:r>
      <w:r w:rsidR="00377A6F">
        <w:rPr>
          <w:rFonts w:ascii="Palatino Linotype" w:hAnsi="Palatino Linotype" w:cs="Arial"/>
          <w:sz w:val="24"/>
          <w:szCs w:val="24"/>
        </w:rPr>
        <w:t xml:space="preserve">descerem </w:t>
      </w:r>
      <w:r w:rsidR="0088085D">
        <w:rPr>
          <w:rFonts w:ascii="Palatino Linotype" w:hAnsi="Palatino Linotype" w:cs="Arial"/>
          <w:sz w:val="24"/>
          <w:szCs w:val="24"/>
        </w:rPr>
        <w:t xml:space="preserve">do </w:t>
      </w:r>
      <w:r w:rsidRPr="000769E7">
        <w:rPr>
          <w:rFonts w:ascii="Palatino Linotype" w:hAnsi="Palatino Linotype" w:cs="Arial"/>
          <w:sz w:val="24"/>
          <w:szCs w:val="24"/>
        </w:rPr>
        <w:t>2º para o 1º grau</w:t>
      </w:r>
      <w:r w:rsidR="0088085D">
        <w:rPr>
          <w:rFonts w:ascii="Palatino Linotype" w:hAnsi="Palatino Linotype" w:cs="Arial"/>
          <w:sz w:val="24"/>
          <w:szCs w:val="24"/>
        </w:rPr>
        <w:t xml:space="preserve"> desde o ingresso deste </w:t>
      </w:r>
      <w:r w:rsidR="00A72703">
        <w:rPr>
          <w:rFonts w:ascii="Palatino Linotype" w:hAnsi="Palatino Linotype" w:cs="Arial"/>
          <w:sz w:val="24"/>
          <w:szCs w:val="24"/>
        </w:rPr>
        <w:t>P</w:t>
      </w:r>
      <w:r w:rsidR="0088085D">
        <w:rPr>
          <w:rFonts w:ascii="Palatino Linotype" w:hAnsi="Palatino Linotype" w:cs="Arial"/>
          <w:sz w:val="24"/>
          <w:szCs w:val="24"/>
        </w:rPr>
        <w:t>e</w:t>
      </w:r>
      <w:r w:rsidR="00A72703">
        <w:rPr>
          <w:rFonts w:ascii="Palatino Linotype" w:hAnsi="Palatino Linotype" w:cs="Arial"/>
          <w:sz w:val="24"/>
          <w:szCs w:val="24"/>
        </w:rPr>
        <w:t>dido de P</w:t>
      </w:r>
      <w:r w:rsidR="0088085D">
        <w:rPr>
          <w:rFonts w:ascii="Palatino Linotype" w:hAnsi="Palatino Linotype" w:cs="Arial"/>
          <w:sz w:val="24"/>
          <w:szCs w:val="24"/>
        </w:rPr>
        <w:t>rovidênc</w:t>
      </w:r>
      <w:r w:rsidR="00A72703">
        <w:rPr>
          <w:rFonts w:ascii="Palatino Linotype" w:hAnsi="Palatino Linotype" w:cs="Arial"/>
          <w:sz w:val="24"/>
          <w:szCs w:val="24"/>
        </w:rPr>
        <w:t>ia</w:t>
      </w:r>
      <w:r w:rsidR="00E05FA9">
        <w:rPr>
          <w:rFonts w:ascii="Palatino Linotype" w:hAnsi="Palatino Linotype" w:cs="Arial"/>
          <w:sz w:val="24"/>
          <w:szCs w:val="24"/>
        </w:rPr>
        <w:t>s</w:t>
      </w:r>
      <w:r w:rsidRPr="000769E7">
        <w:rPr>
          <w:rFonts w:ascii="Palatino Linotype" w:hAnsi="Palatino Linotype" w:cs="Arial"/>
          <w:sz w:val="24"/>
          <w:szCs w:val="24"/>
        </w:rPr>
        <w:t xml:space="preserve">, </w:t>
      </w:r>
      <w:r w:rsidR="00A72703">
        <w:rPr>
          <w:rFonts w:ascii="Palatino Linotype" w:hAnsi="Palatino Linotype" w:cs="Arial"/>
          <w:sz w:val="24"/>
          <w:szCs w:val="24"/>
        </w:rPr>
        <w:t>ainda remanescem 18 (dezoito) servidores a serem movimentados para o 1º grau, conforme painel de acompanhamento desse Conselho Nacional de Justiça (</w:t>
      </w:r>
      <w:hyperlink r:id="rId11" w:history="1">
        <w:r w:rsidR="00A72703" w:rsidRPr="006A0DC3">
          <w:rPr>
            <w:rStyle w:val="Hyperlink"/>
            <w:rFonts w:ascii="Palatino Linotype" w:hAnsi="Palatino Linotype" w:cs="Arial"/>
            <w:sz w:val="24"/>
            <w:szCs w:val="24"/>
          </w:rPr>
          <w:t>https://www.amb.com.br/cnj-divulga-painel-de-acompanhamento-da-politica-nacional-de-priorizacao-do-primeiro-grau/?doing_wp_cron=1565218844.2108590602874755859375</w:t>
        </w:r>
      </w:hyperlink>
      <w:r w:rsidR="00A72703">
        <w:rPr>
          <w:rFonts w:ascii="Palatino Linotype" w:hAnsi="Palatino Linotype" w:cs="Arial"/>
          <w:sz w:val="24"/>
          <w:szCs w:val="24"/>
        </w:rPr>
        <w:t>)</w:t>
      </w:r>
    </w:p>
    <w:p w:rsidR="00A72703" w:rsidRDefault="00A72703" w:rsidP="00DE153C">
      <w:pPr>
        <w:spacing w:after="0" w:line="360" w:lineRule="auto"/>
        <w:jc w:val="both"/>
        <w:rPr>
          <w:rFonts w:ascii="Palatino Linotype" w:hAnsi="Palatino Linotype" w:cs="Arial"/>
          <w:sz w:val="24"/>
          <w:szCs w:val="24"/>
        </w:rPr>
      </w:pPr>
    </w:p>
    <w:p w:rsidR="00DE153C" w:rsidRPr="00854D56" w:rsidRDefault="00DE153C" w:rsidP="00DE153C">
      <w:pPr>
        <w:spacing w:after="0" w:line="360" w:lineRule="auto"/>
        <w:jc w:val="both"/>
        <w:rPr>
          <w:rFonts w:ascii="Palatino Linotype" w:hAnsi="Palatino Linotype" w:cs="Arial"/>
          <w:b/>
          <w:sz w:val="24"/>
          <w:szCs w:val="24"/>
        </w:rPr>
      </w:pPr>
      <w:r w:rsidRPr="00854D56">
        <w:rPr>
          <w:rFonts w:ascii="Palatino Linotype" w:hAnsi="Palatino Linotype" w:cs="Arial"/>
          <w:b/>
          <w:sz w:val="24"/>
          <w:szCs w:val="24"/>
        </w:rPr>
        <w:t>2. CUMPRIMENTO DO ART. 22 DA RESOLUÇÃO 216/16 – EQUIPARAÇÃO DE CARGOS COMISSIONADOS DOS 1º E 2º GRAUS</w:t>
      </w:r>
    </w:p>
    <w:p w:rsidR="00DE153C" w:rsidRPr="000769E7" w:rsidRDefault="00DE153C" w:rsidP="00DE153C">
      <w:pPr>
        <w:spacing w:after="0" w:line="360" w:lineRule="auto"/>
        <w:jc w:val="both"/>
        <w:rPr>
          <w:rFonts w:ascii="Palatino Linotype" w:hAnsi="Palatino Linotype" w:cs="Arial"/>
          <w:sz w:val="24"/>
          <w:szCs w:val="24"/>
        </w:rPr>
      </w:pPr>
    </w:p>
    <w:p w:rsidR="00300963" w:rsidRDefault="00A72703" w:rsidP="00300963">
      <w:pPr>
        <w:spacing w:after="0" w:line="360" w:lineRule="auto"/>
        <w:ind w:firstLine="2268"/>
        <w:jc w:val="both"/>
        <w:rPr>
          <w:rFonts w:ascii="Palatino Linotype" w:hAnsi="Palatino Linotype" w:cs="Arial"/>
          <w:sz w:val="24"/>
          <w:szCs w:val="24"/>
        </w:rPr>
      </w:pPr>
      <w:r>
        <w:rPr>
          <w:rFonts w:ascii="Palatino Linotype" w:hAnsi="Palatino Linotype" w:cs="Arial"/>
          <w:sz w:val="24"/>
          <w:szCs w:val="24"/>
        </w:rPr>
        <w:lastRenderedPageBreak/>
        <w:t>Foi aprovado</w:t>
      </w:r>
      <w:r w:rsidR="00300963">
        <w:rPr>
          <w:rFonts w:ascii="Palatino Linotype" w:hAnsi="Palatino Linotype" w:cs="Arial"/>
          <w:sz w:val="24"/>
          <w:szCs w:val="24"/>
        </w:rPr>
        <w:t xml:space="preserve"> </w:t>
      </w:r>
      <w:r>
        <w:rPr>
          <w:rFonts w:ascii="Palatino Linotype" w:hAnsi="Palatino Linotype" w:cs="Arial"/>
          <w:sz w:val="24"/>
          <w:szCs w:val="24"/>
        </w:rPr>
        <w:t>pela Assembleia Legislativa da Paraíba</w:t>
      </w:r>
      <w:r w:rsidR="00300963">
        <w:rPr>
          <w:rFonts w:ascii="Palatino Linotype" w:hAnsi="Palatino Linotype" w:cs="Arial"/>
          <w:sz w:val="24"/>
          <w:szCs w:val="24"/>
        </w:rPr>
        <w:t xml:space="preserve">, no dia 07.08.2019, </w:t>
      </w:r>
      <w:r>
        <w:rPr>
          <w:rFonts w:ascii="Palatino Linotype" w:hAnsi="Palatino Linotype" w:cs="Arial"/>
          <w:sz w:val="24"/>
          <w:szCs w:val="24"/>
        </w:rPr>
        <w:t xml:space="preserve">projeto de lei </w:t>
      </w:r>
      <w:r w:rsidR="00300963">
        <w:rPr>
          <w:rFonts w:ascii="Palatino Linotype" w:hAnsi="Palatino Linotype" w:cs="Arial"/>
          <w:sz w:val="24"/>
          <w:szCs w:val="24"/>
        </w:rPr>
        <w:t xml:space="preserve">– o qual agora aguarda sanção do Governador do Estado – </w:t>
      </w:r>
      <w:r>
        <w:rPr>
          <w:rFonts w:ascii="Palatino Linotype" w:hAnsi="Palatino Linotype" w:cs="Arial"/>
          <w:sz w:val="24"/>
          <w:szCs w:val="24"/>
        </w:rPr>
        <w:t xml:space="preserve">que, além de criar 40 (quarenta) cargos de assessor de 1º grau, eleva a  remuneração bruta </w:t>
      </w:r>
      <w:r w:rsidR="00300963">
        <w:rPr>
          <w:rFonts w:ascii="Palatino Linotype" w:hAnsi="Palatino Linotype" w:cs="Arial"/>
          <w:sz w:val="24"/>
          <w:szCs w:val="24"/>
        </w:rPr>
        <w:t xml:space="preserve">destes </w:t>
      </w:r>
      <w:r>
        <w:rPr>
          <w:rFonts w:ascii="Palatino Linotype" w:hAnsi="Palatino Linotype" w:cs="Arial"/>
          <w:sz w:val="24"/>
          <w:szCs w:val="24"/>
        </w:rPr>
        <w:t xml:space="preserve">de </w:t>
      </w:r>
      <w:r w:rsidR="00300963" w:rsidRPr="000769E7">
        <w:rPr>
          <w:rFonts w:ascii="Palatino Linotype" w:hAnsi="Palatino Linotype" w:cs="Arial"/>
          <w:sz w:val="24"/>
          <w:szCs w:val="24"/>
        </w:rPr>
        <w:t xml:space="preserve">R$ 1.690,00 (um mil, seiscentos e noventa reais) para R$ 2.200,00 (dois mil e duzentos reais). </w:t>
      </w:r>
      <w:r w:rsidR="00300963">
        <w:rPr>
          <w:rFonts w:ascii="Palatino Linotype" w:hAnsi="Palatino Linotype" w:cs="Arial"/>
          <w:sz w:val="24"/>
          <w:szCs w:val="24"/>
        </w:rPr>
        <w:t xml:space="preserve">A grande diferença remuneratória tão firmemente combatida pela Resolução </w:t>
      </w:r>
      <w:r w:rsidR="00377A6F">
        <w:rPr>
          <w:rFonts w:ascii="Palatino Linotype" w:hAnsi="Palatino Linotype" w:cs="Arial"/>
          <w:sz w:val="24"/>
          <w:szCs w:val="24"/>
        </w:rPr>
        <w:t xml:space="preserve">n. </w:t>
      </w:r>
      <w:r w:rsidR="00300963">
        <w:rPr>
          <w:rFonts w:ascii="Palatino Linotype" w:hAnsi="Palatino Linotype" w:cs="Arial"/>
          <w:sz w:val="24"/>
          <w:szCs w:val="24"/>
        </w:rPr>
        <w:t>219/16</w:t>
      </w:r>
      <w:r w:rsidR="00377A6F">
        <w:rPr>
          <w:rFonts w:ascii="Palatino Linotype" w:hAnsi="Palatino Linotype" w:cs="Arial"/>
          <w:sz w:val="24"/>
          <w:szCs w:val="24"/>
        </w:rPr>
        <w:t xml:space="preserve">, como se vê, </w:t>
      </w:r>
      <w:r w:rsidR="00300963">
        <w:rPr>
          <w:rFonts w:ascii="Palatino Linotype" w:hAnsi="Palatino Linotype" w:cs="Arial"/>
          <w:sz w:val="24"/>
          <w:szCs w:val="24"/>
        </w:rPr>
        <w:t>está mantida. É bem verdade que esta Entidade de classe, em seus debates e embates</w:t>
      </w:r>
      <w:r w:rsidR="00377A6F">
        <w:rPr>
          <w:rFonts w:ascii="Palatino Linotype" w:hAnsi="Palatino Linotype" w:cs="Arial"/>
          <w:sz w:val="24"/>
          <w:szCs w:val="24"/>
        </w:rPr>
        <w:t xml:space="preserve"> sobre o tema</w:t>
      </w:r>
      <w:r w:rsidR="00300963">
        <w:rPr>
          <w:rFonts w:ascii="Palatino Linotype" w:hAnsi="Palatino Linotype" w:cs="Arial"/>
          <w:sz w:val="24"/>
          <w:szCs w:val="24"/>
        </w:rPr>
        <w:t>, reconhece que o TJPB não tem capacidade financeira e orçamentária</w:t>
      </w:r>
      <w:r w:rsidR="007E194C">
        <w:rPr>
          <w:rFonts w:ascii="Palatino Linotype" w:hAnsi="Palatino Linotype" w:cs="Arial"/>
          <w:sz w:val="24"/>
          <w:szCs w:val="24"/>
        </w:rPr>
        <w:t xml:space="preserve"> para equiparar </w:t>
      </w:r>
      <w:r w:rsidR="00377A6F">
        <w:rPr>
          <w:rFonts w:ascii="Palatino Linotype" w:hAnsi="Palatino Linotype" w:cs="Arial"/>
          <w:sz w:val="24"/>
          <w:szCs w:val="24"/>
        </w:rPr>
        <w:t xml:space="preserve">imediata e </w:t>
      </w:r>
      <w:r w:rsidR="007E194C">
        <w:rPr>
          <w:rFonts w:ascii="Palatino Linotype" w:hAnsi="Palatino Linotype" w:cs="Arial"/>
          <w:sz w:val="24"/>
          <w:szCs w:val="24"/>
        </w:rPr>
        <w:t>integralmente as remunerações. Entretanto, também o</w:t>
      </w:r>
      <w:r w:rsidR="00377A6F">
        <w:rPr>
          <w:rFonts w:ascii="Palatino Linotype" w:hAnsi="Palatino Linotype" w:cs="Arial"/>
          <w:sz w:val="24"/>
          <w:szCs w:val="24"/>
        </w:rPr>
        <w:t xml:space="preserve"> é</w:t>
      </w:r>
      <w:r w:rsidR="007E194C">
        <w:rPr>
          <w:rFonts w:ascii="Palatino Linotype" w:hAnsi="Palatino Linotype" w:cs="Arial"/>
          <w:sz w:val="24"/>
          <w:szCs w:val="24"/>
        </w:rPr>
        <w:t xml:space="preserve"> que, no panorama atual, o Tribunal de Justiça concedeu o pequeno aumento, mas não se comprometeu </w:t>
      </w:r>
      <w:r w:rsidR="00085DD5">
        <w:rPr>
          <w:rFonts w:ascii="Palatino Linotype" w:hAnsi="Palatino Linotype" w:cs="Arial"/>
          <w:sz w:val="24"/>
          <w:szCs w:val="24"/>
        </w:rPr>
        <w:t>a</w:t>
      </w:r>
      <w:r w:rsidR="007E194C">
        <w:rPr>
          <w:rFonts w:ascii="Palatino Linotype" w:hAnsi="Palatino Linotype" w:cs="Arial"/>
          <w:sz w:val="24"/>
          <w:szCs w:val="24"/>
        </w:rPr>
        <w:t xml:space="preserve"> revisá-lo paulatina e periodicamente, até que, a médio e longo prazo, assessores do 1º e do 2º grau percebam a mesma remuneração, </w:t>
      </w:r>
      <w:r w:rsidR="00085DD5">
        <w:rPr>
          <w:rFonts w:ascii="Palatino Linotype" w:hAnsi="Palatino Linotype" w:cs="Arial"/>
          <w:sz w:val="24"/>
          <w:szCs w:val="24"/>
        </w:rPr>
        <w:t xml:space="preserve">para que </w:t>
      </w:r>
      <w:r w:rsidR="007E194C">
        <w:rPr>
          <w:rFonts w:ascii="Palatino Linotype" w:hAnsi="Palatino Linotype" w:cs="Arial"/>
          <w:sz w:val="24"/>
          <w:szCs w:val="24"/>
        </w:rPr>
        <w:t xml:space="preserve">ao final se expurgue, de uma vez por todas, a “corrida” de servidores para o 2º grau, em busca melhores condições de trabalho e remuneração. </w:t>
      </w:r>
    </w:p>
    <w:p w:rsidR="00300963" w:rsidRDefault="00300963" w:rsidP="00300963">
      <w:pPr>
        <w:spacing w:after="0" w:line="360" w:lineRule="auto"/>
        <w:ind w:firstLine="2268"/>
        <w:jc w:val="both"/>
        <w:rPr>
          <w:rFonts w:ascii="Palatino Linotype" w:hAnsi="Palatino Linotype" w:cs="Arial"/>
          <w:sz w:val="24"/>
          <w:szCs w:val="24"/>
        </w:rPr>
      </w:pPr>
    </w:p>
    <w:p w:rsidR="00BB6E5F" w:rsidRDefault="00DE153C" w:rsidP="00DE153C">
      <w:pPr>
        <w:spacing w:after="0" w:line="360" w:lineRule="auto"/>
        <w:ind w:right="-285" w:firstLine="2127"/>
        <w:jc w:val="both"/>
        <w:rPr>
          <w:rFonts w:ascii="Palatino Linotype" w:hAnsi="Palatino Linotype" w:cs="Arial"/>
          <w:sz w:val="24"/>
          <w:szCs w:val="24"/>
        </w:rPr>
      </w:pPr>
      <w:r>
        <w:rPr>
          <w:rFonts w:ascii="Palatino Linotype" w:hAnsi="Palatino Linotype" w:cs="Arial"/>
          <w:sz w:val="24"/>
          <w:szCs w:val="24"/>
        </w:rPr>
        <w:t xml:space="preserve">Pelas razões explanadas, </w:t>
      </w:r>
      <w:r w:rsidR="007E194C">
        <w:rPr>
          <w:rFonts w:ascii="Palatino Linotype" w:hAnsi="Palatino Linotype" w:cs="Arial"/>
          <w:sz w:val="24"/>
          <w:szCs w:val="24"/>
        </w:rPr>
        <w:t xml:space="preserve">remanesce a necessidade de o Tribunal de Justiça formalizar planejamento para futura equiparação de remuneração dos assessores dos 1º e 2º graus, </w:t>
      </w:r>
      <w:r>
        <w:rPr>
          <w:rFonts w:ascii="Palatino Linotype" w:hAnsi="Palatino Linotype" w:cs="Arial"/>
          <w:sz w:val="24"/>
          <w:szCs w:val="24"/>
        </w:rPr>
        <w:t>garantido o cumprimento da ordem insculpida no §1º do art. 22 da Res. 219/16</w:t>
      </w:r>
      <w:r w:rsidR="007E194C">
        <w:rPr>
          <w:rFonts w:ascii="Palatino Linotype" w:hAnsi="Palatino Linotype" w:cs="Arial"/>
          <w:sz w:val="24"/>
          <w:szCs w:val="24"/>
        </w:rPr>
        <w:t xml:space="preserve">. </w:t>
      </w:r>
    </w:p>
    <w:p w:rsidR="00BB6E5F" w:rsidRDefault="00BB6E5F" w:rsidP="00DE153C">
      <w:pPr>
        <w:spacing w:after="0" w:line="360" w:lineRule="auto"/>
        <w:ind w:right="-285" w:firstLine="2127"/>
        <w:jc w:val="both"/>
        <w:rPr>
          <w:rFonts w:ascii="Palatino Linotype" w:hAnsi="Palatino Linotype" w:cs="Arial"/>
          <w:sz w:val="24"/>
          <w:szCs w:val="24"/>
        </w:rPr>
      </w:pPr>
    </w:p>
    <w:p w:rsidR="00C87993" w:rsidRDefault="007E194C" w:rsidP="00DE153C">
      <w:pPr>
        <w:spacing w:after="0" w:line="360" w:lineRule="auto"/>
        <w:ind w:right="-285" w:firstLine="2127"/>
        <w:jc w:val="both"/>
        <w:rPr>
          <w:rFonts w:ascii="Palatino Linotype" w:hAnsi="Palatino Linotype" w:cs="Arial"/>
          <w:sz w:val="24"/>
          <w:szCs w:val="24"/>
        </w:rPr>
      </w:pPr>
      <w:r>
        <w:rPr>
          <w:rFonts w:ascii="Palatino Linotype" w:hAnsi="Palatino Linotype" w:cs="Arial"/>
          <w:sz w:val="24"/>
          <w:szCs w:val="24"/>
        </w:rPr>
        <w:t xml:space="preserve">Importante registrar que, por meio de relevantes negociações </w:t>
      </w:r>
      <w:r w:rsidR="00C87993">
        <w:rPr>
          <w:rFonts w:ascii="Palatino Linotype" w:hAnsi="Palatino Linotype" w:cs="Arial"/>
          <w:sz w:val="24"/>
          <w:szCs w:val="24"/>
        </w:rPr>
        <w:t xml:space="preserve">ocorridas </w:t>
      </w:r>
      <w:r>
        <w:rPr>
          <w:rFonts w:ascii="Palatino Linotype" w:hAnsi="Palatino Linotype" w:cs="Arial"/>
          <w:sz w:val="24"/>
          <w:szCs w:val="24"/>
        </w:rPr>
        <w:t xml:space="preserve">entre a Presidência do Tribunal de Justiça e o Governo do Estado da Paraíba, a primeira logrou êxito em corrigir o congelamento de três anos consecutivos do orçamento do PJPB, </w:t>
      </w:r>
      <w:r w:rsidR="00C87993">
        <w:rPr>
          <w:rFonts w:ascii="Palatino Linotype" w:hAnsi="Palatino Linotype" w:cs="Arial"/>
          <w:sz w:val="24"/>
          <w:szCs w:val="24"/>
        </w:rPr>
        <w:t>de sorte que a pr</w:t>
      </w:r>
      <w:r w:rsidR="00085DD5">
        <w:rPr>
          <w:rFonts w:ascii="Palatino Linotype" w:hAnsi="Palatino Linotype" w:cs="Arial"/>
          <w:sz w:val="24"/>
          <w:szCs w:val="24"/>
        </w:rPr>
        <w:t>evisão é a de que</w:t>
      </w:r>
      <w:r w:rsidR="00C87993">
        <w:rPr>
          <w:rFonts w:ascii="Palatino Linotype" w:hAnsi="Palatino Linotype" w:cs="Arial"/>
          <w:sz w:val="24"/>
          <w:szCs w:val="24"/>
        </w:rPr>
        <w:t xml:space="preserve">, no ano de 2020, </w:t>
      </w:r>
      <w:r w:rsidR="00085DD5">
        <w:rPr>
          <w:rFonts w:ascii="Palatino Linotype" w:hAnsi="Palatino Linotype" w:cs="Arial"/>
          <w:sz w:val="24"/>
          <w:szCs w:val="24"/>
        </w:rPr>
        <w:t xml:space="preserve">o orçamento </w:t>
      </w:r>
      <w:r w:rsidR="00C87993">
        <w:rPr>
          <w:rFonts w:ascii="Palatino Linotype" w:hAnsi="Palatino Linotype" w:cs="Arial"/>
          <w:sz w:val="24"/>
          <w:szCs w:val="24"/>
        </w:rPr>
        <w:t>seja corrigido pelo IPCA apurado entre julho de 2017 e junho de 2019. Descortina-se, pois, um cenário financeiro e orçament</w:t>
      </w:r>
      <w:r w:rsidR="004C2392">
        <w:rPr>
          <w:rFonts w:ascii="Palatino Linotype" w:hAnsi="Palatino Linotype" w:cs="Arial"/>
          <w:sz w:val="24"/>
          <w:szCs w:val="24"/>
        </w:rPr>
        <w:t xml:space="preserve">ário mais favorável </w:t>
      </w:r>
      <w:r w:rsidR="004C2392">
        <w:rPr>
          <w:rFonts w:ascii="Palatino Linotype" w:hAnsi="Palatino Linotype" w:cs="Arial"/>
          <w:sz w:val="24"/>
          <w:szCs w:val="24"/>
        </w:rPr>
        <w:lastRenderedPageBreak/>
        <w:t>par</w:t>
      </w:r>
      <w:r w:rsidR="00085DD5">
        <w:rPr>
          <w:rFonts w:ascii="Palatino Linotype" w:hAnsi="Palatino Linotype" w:cs="Arial"/>
          <w:sz w:val="24"/>
          <w:szCs w:val="24"/>
        </w:rPr>
        <w:t>a</w:t>
      </w:r>
      <w:r w:rsidR="004C2392">
        <w:rPr>
          <w:rFonts w:ascii="Palatino Linotype" w:hAnsi="Palatino Linotype" w:cs="Arial"/>
          <w:sz w:val="24"/>
          <w:szCs w:val="24"/>
        </w:rPr>
        <w:t xml:space="preserve"> o TJPB, que com certeza lhe permitirá planejar, a médio e longo prazo, o cumprimento da Res. n. 219/16, também no que diz respeito à equiparação da remuneração de assessores. </w:t>
      </w:r>
    </w:p>
    <w:p w:rsidR="00C87993" w:rsidRDefault="00C87993" w:rsidP="00DE153C">
      <w:pPr>
        <w:spacing w:after="0" w:line="360" w:lineRule="auto"/>
        <w:ind w:right="-285" w:firstLine="2127"/>
        <w:jc w:val="both"/>
        <w:rPr>
          <w:rFonts w:ascii="Palatino Linotype" w:hAnsi="Palatino Linotype" w:cs="Arial"/>
          <w:sz w:val="24"/>
          <w:szCs w:val="24"/>
        </w:rPr>
      </w:pPr>
    </w:p>
    <w:p w:rsidR="007E194C" w:rsidRDefault="007E194C" w:rsidP="00DE153C">
      <w:pPr>
        <w:spacing w:after="0" w:line="360" w:lineRule="auto"/>
        <w:ind w:right="-285" w:firstLine="2127"/>
        <w:jc w:val="both"/>
        <w:rPr>
          <w:rFonts w:ascii="Palatino Linotype" w:hAnsi="Palatino Linotype" w:cs="Arial"/>
          <w:sz w:val="24"/>
          <w:szCs w:val="24"/>
        </w:rPr>
      </w:pPr>
    </w:p>
    <w:p w:rsidR="00DE153C" w:rsidRPr="003759CB" w:rsidRDefault="00DE153C" w:rsidP="00DE153C">
      <w:pPr>
        <w:spacing w:after="0" w:line="360" w:lineRule="auto"/>
        <w:jc w:val="both"/>
        <w:rPr>
          <w:rFonts w:ascii="Palatino Linotype" w:hAnsi="Palatino Linotype" w:cs="Arial"/>
          <w:b/>
          <w:sz w:val="24"/>
          <w:szCs w:val="24"/>
        </w:rPr>
      </w:pPr>
      <w:r w:rsidRPr="003759CB">
        <w:rPr>
          <w:rFonts w:ascii="Palatino Linotype" w:hAnsi="Palatino Linotype" w:cs="Arial"/>
          <w:b/>
          <w:sz w:val="24"/>
          <w:szCs w:val="24"/>
        </w:rPr>
        <w:t>3. CUMPRIMENTO DO ART. 12 DA RESOLUÇÃO 216/16 – DISTRIBUIÇÃO DE RECURSOS ALOCADOS EM CARGOS COMISSIONADOS ENTRE OS GRAUS DE JURISDIÇÃO</w:t>
      </w:r>
    </w:p>
    <w:p w:rsidR="00DE153C" w:rsidRPr="000769E7" w:rsidRDefault="00DE153C" w:rsidP="00DE153C">
      <w:pPr>
        <w:spacing w:after="0" w:line="360" w:lineRule="auto"/>
        <w:jc w:val="both"/>
        <w:rPr>
          <w:rFonts w:ascii="Palatino Linotype" w:hAnsi="Palatino Linotype" w:cs="Arial"/>
          <w:sz w:val="24"/>
          <w:szCs w:val="24"/>
        </w:rPr>
      </w:pPr>
    </w:p>
    <w:p w:rsidR="00DE153C" w:rsidRPr="000769E7" w:rsidRDefault="00DE153C" w:rsidP="00DE153C">
      <w:pPr>
        <w:spacing w:after="0" w:line="360" w:lineRule="auto"/>
        <w:ind w:firstLine="2127"/>
        <w:jc w:val="both"/>
        <w:rPr>
          <w:rFonts w:ascii="Palatino Linotype" w:hAnsi="Palatino Linotype" w:cs="Arial"/>
          <w:sz w:val="24"/>
          <w:szCs w:val="24"/>
        </w:rPr>
      </w:pPr>
      <w:r w:rsidRPr="000769E7">
        <w:rPr>
          <w:rFonts w:ascii="Palatino Linotype" w:hAnsi="Palatino Linotype" w:cs="Arial"/>
          <w:sz w:val="24"/>
          <w:szCs w:val="24"/>
        </w:rPr>
        <w:t xml:space="preserve">Outro ponto de resistência é alocação de recursos de cargos em comissão. </w:t>
      </w:r>
    </w:p>
    <w:p w:rsidR="004C2392" w:rsidRPr="004C2392" w:rsidRDefault="004C2392" w:rsidP="00DE153C">
      <w:pPr>
        <w:spacing w:after="0" w:line="360" w:lineRule="auto"/>
        <w:ind w:firstLine="2127"/>
        <w:jc w:val="both"/>
        <w:rPr>
          <w:rFonts w:ascii="Palatino Linotype" w:hAnsi="Palatino Linotype" w:cs="Arial"/>
          <w:sz w:val="24"/>
          <w:szCs w:val="24"/>
        </w:rPr>
      </w:pPr>
      <w:r>
        <w:rPr>
          <w:rFonts w:ascii="Palatino Linotype" w:hAnsi="Palatino Linotype" w:cs="Arial"/>
          <w:sz w:val="24"/>
          <w:szCs w:val="24"/>
        </w:rPr>
        <w:t>À época da distribuição deste PP, f</w:t>
      </w:r>
      <w:r w:rsidR="00DE153C" w:rsidRPr="000769E7">
        <w:rPr>
          <w:rFonts w:ascii="Palatino Linotype" w:hAnsi="Palatino Linotype" w:cs="Arial"/>
          <w:sz w:val="24"/>
          <w:szCs w:val="24"/>
        </w:rPr>
        <w:t>oram distribuídos no 1º grau de jurisdição, no último triênio</w:t>
      </w:r>
      <w:r w:rsidR="00DE153C" w:rsidRPr="003759CB">
        <w:rPr>
          <w:rFonts w:ascii="Palatino Linotype" w:hAnsi="Palatino Linotype" w:cs="Arial"/>
          <w:b/>
          <w:sz w:val="24"/>
          <w:szCs w:val="24"/>
        </w:rPr>
        <w:t xml:space="preserve">, 89% (oitenta e nove por cento) dos casos novos. </w:t>
      </w:r>
      <w:r w:rsidR="00DE153C" w:rsidRPr="000769E7">
        <w:rPr>
          <w:rFonts w:ascii="Palatino Linotype" w:hAnsi="Palatino Linotype" w:cs="Arial"/>
          <w:sz w:val="24"/>
          <w:szCs w:val="24"/>
        </w:rPr>
        <w:t xml:space="preserve">Já o </w:t>
      </w:r>
      <w:r w:rsidR="00DE153C" w:rsidRPr="003759CB">
        <w:rPr>
          <w:rFonts w:ascii="Palatino Linotype" w:hAnsi="Palatino Linotype" w:cs="Arial"/>
          <w:b/>
          <w:sz w:val="24"/>
          <w:szCs w:val="24"/>
        </w:rPr>
        <w:t>2º grau recebeu, no mesmo período, 11% (onze por cento) dos casos novos.</w:t>
      </w:r>
      <w:r>
        <w:rPr>
          <w:rFonts w:ascii="Palatino Linotype" w:hAnsi="Palatino Linotype" w:cs="Arial"/>
          <w:b/>
          <w:sz w:val="24"/>
          <w:szCs w:val="24"/>
        </w:rPr>
        <w:t xml:space="preserve"> </w:t>
      </w:r>
      <w:r>
        <w:rPr>
          <w:rFonts w:ascii="Palatino Linotype" w:hAnsi="Palatino Linotype" w:cs="Arial"/>
          <w:sz w:val="24"/>
          <w:szCs w:val="24"/>
        </w:rPr>
        <w:t>Esse cenário, com poucas variações, vem se mantendo ao longo dos anos</w:t>
      </w:r>
      <w:r w:rsidR="00085DD5">
        <w:rPr>
          <w:rFonts w:ascii="Palatino Linotype" w:hAnsi="Palatino Linotype" w:cs="Arial"/>
          <w:sz w:val="24"/>
          <w:szCs w:val="24"/>
        </w:rPr>
        <w:t xml:space="preserve"> seguintes</w:t>
      </w:r>
      <w:r>
        <w:rPr>
          <w:rFonts w:ascii="Palatino Linotype" w:hAnsi="Palatino Linotype" w:cs="Arial"/>
          <w:sz w:val="24"/>
          <w:szCs w:val="24"/>
        </w:rPr>
        <w:t>.</w:t>
      </w:r>
    </w:p>
    <w:p w:rsidR="00DE153C" w:rsidRPr="000769E7" w:rsidRDefault="00DE153C" w:rsidP="00DE153C">
      <w:pPr>
        <w:spacing w:after="0" w:line="360" w:lineRule="auto"/>
        <w:ind w:firstLine="708"/>
        <w:jc w:val="both"/>
        <w:rPr>
          <w:rFonts w:ascii="Palatino Linotype" w:hAnsi="Palatino Linotype" w:cs="Arial"/>
          <w:sz w:val="24"/>
          <w:szCs w:val="24"/>
        </w:rPr>
      </w:pPr>
    </w:p>
    <w:p w:rsidR="00DE153C" w:rsidRDefault="00DE153C" w:rsidP="00DE153C">
      <w:pPr>
        <w:spacing w:after="0" w:line="360" w:lineRule="auto"/>
        <w:ind w:firstLine="2127"/>
        <w:jc w:val="both"/>
        <w:rPr>
          <w:rFonts w:ascii="Palatino Linotype" w:hAnsi="Palatino Linotype" w:cs="Arial"/>
          <w:b/>
          <w:sz w:val="24"/>
          <w:szCs w:val="24"/>
          <w:u w:val="single"/>
        </w:rPr>
      </w:pPr>
      <w:r w:rsidRPr="000769E7">
        <w:rPr>
          <w:rFonts w:ascii="Palatino Linotype" w:hAnsi="Palatino Linotype" w:cs="Arial"/>
          <w:sz w:val="24"/>
          <w:szCs w:val="24"/>
        </w:rPr>
        <w:t xml:space="preserve">À vista da dicção do art. 12 da Resolução 219/16, tais percentuais deveriam orientar a alocação de despesas com cargos comissionados. Entretanto e de acordo com informações prestadas pelo próprio Tribunal de Justiça, o </w:t>
      </w:r>
      <w:r w:rsidRPr="003759CB">
        <w:rPr>
          <w:rFonts w:ascii="Palatino Linotype" w:hAnsi="Palatino Linotype" w:cs="Arial"/>
          <w:b/>
          <w:sz w:val="24"/>
          <w:szCs w:val="24"/>
        </w:rPr>
        <w:t>2º grau detém 7</w:t>
      </w:r>
      <w:r w:rsidR="00C54582">
        <w:rPr>
          <w:rFonts w:ascii="Palatino Linotype" w:hAnsi="Palatino Linotype" w:cs="Arial"/>
          <w:b/>
          <w:sz w:val="24"/>
          <w:szCs w:val="24"/>
        </w:rPr>
        <w:t>6</w:t>
      </w:r>
      <w:r w:rsidRPr="003759CB">
        <w:rPr>
          <w:rFonts w:ascii="Palatino Linotype" w:hAnsi="Palatino Linotype" w:cs="Arial"/>
          <w:b/>
          <w:sz w:val="24"/>
          <w:szCs w:val="24"/>
        </w:rPr>
        <w:t xml:space="preserve">% dos recursos destinados ao pagamento de cargos comissionados </w:t>
      </w:r>
      <w:r w:rsidRPr="003759CB">
        <w:rPr>
          <w:rFonts w:ascii="Palatino Linotype" w:hAnsi="Palatino Linotype" w:cs="Arial"/>
          <w:b/>
          <w:sz w:val="24"/>
          <w:szCs w:val="24"/>
          <w:u w:val="single"/>
        </w:rPr>
        <w:t>(deveria ter 11%, como visto)</w:t>
      </w:r>
      <w:r w:rsidRPr="000769E7">
        <w:rPr>
          <w:rFonts w:ascii="Palatino Linotype" w:hAnsi="Palatino Linotype" w:cs="Arial"/>
          <w:sz w:val="24"/>
          <w:szCs w:val="24"/>
        </w:rPr>
        <w:t xml:space="preserve">, ao passo que </w:t>
      </w:r>
      <w:r w:rsidRPr="003759CB">
        <w:rPr>
          <w:rFonts w:ascii="Palatino Linotype" w:hAnsi="Palatino Linotype" w:cs="Arial"/>
          <w:b/>
          <w:sz w:val="24"/>
          <w:szCs w:val="24"/>
        </w:rPr>
        <w:t>ao 1º grau resta apenas 2</w:t>
      </w:r>
      <w:r w:rsidR="00C54582">
        <w:rPr>
          <w:rFonts w:ascii="Palatino Linotype" w:hAnsi="Palatino Linotype" w:cs="Arial"/>
          <w:b/>
          <w:sz w:val="24"/>
          <w:szCs w:val="24"/>
        </w:rPr>
        <w:t>4</w:t>
      </w:r>
      <w:r w:rsidRPr="003759CB">
        <w:rPr>
          <w:rFonts w:ascii="Palatino Linotype" w:hAnsi="Palatino Linotype" w:cs="Arial"/>
          <w:b/>
          <w:sz w:val="24"/>
          <w:szCs w:val="24"/>
        </w:rPr>
        <w:t xml:space="preserve">% </w:t>
      </w:r>
      <w:r w:rsidRPr="003759CB">
        <w:rPr>
          <w:rFonts w:ascii="Palatino Linotype" w:hAnsi="Palatino Linotype" w:cs="Arial"/>
          <w:b/>
          <w:sz w:val="24"/>
          <w:szCs w:val="24"/>
          <w:u w:val="single"/>
        </w:rPr>
        <w:t>(quando deveria receber 89%).</w:t>
      </w:r>
    </w:p>
    <w:p w:rsidR="00C54582" w:rsidRDefault="00C54582" w:rsidP="00DE153C">
      <w:pPr>
        <w:spacing w:after="0" w:line="360" w:lineRule="auto"/>
        <w:ind w:firstLine="2127"/>
        <w:jc w:val="both"/>
        <w:rPr>
          <w:rFonts w:ascii="Palatino Linotype" w:hAnsi="Palatino Linotype" w:cs="Arial"/>
          <w:b/>
          <w:sz w:val="24"/>
          <w:szCs w:val="24"/>
          <w:u w:val="single"/>
        </w:rPr>
      </w:pPr>
    </w:p>
    <w:p w:rsidR="00C54582" w:rsidRDefault="00C54582" w:rsidP="00C54582">
      <w:pPr>
        <w:spacing w:after="0" w:line="360" w:lineRule="auto"/>
        <w:jc w:val="both"/>
        <w:rPr>
          <w:rFonts w:ascii="Palatino Linotype" w:hAnsi="Palatino Linotype" w:cs="Arial"/>
          <w:sz w:val="24"/>
          <w:szCs w:val="24"/>
        </w:rPr>
      </w:pPr>
      <w:r>
        <w:rPr>
          <w:rFonts w:ascii="Palatino Linotype" w:hAnsi="Palatino Linotype" w:cs="Arial"/>
          <w:sz w:val="24"/>
          <w:szCs w:val="24"/>
        </w:rPr>
        <w:tab/>
      </w:r>
      <w:r>
        <w:rPr>
          <w:rFonts w:ascii="Palatino Linotype" w:hAnsi="Palatino Linotype" w:cs="Arial"/>
          <w:sz w:val="24"/>
          <w:szCs w:val="24"/>
        </w:rPr>
        <w:tab/>
      </w:r>
      <w:r>
        <w:rPr>
          <w:rFonts w:ascii="Palatino Linotype" w:hAnsi="Palatino Linotype" w:cs="Arial"/>
          <w:sz w:val="24"/>
          <w:szCs w:val="24"/>
        </w:rPr>
        <w:tab/>
        <w:t xml:space="preserve">Em suas comunicações, o Tribunal de Justiça defende que o enxugamento da estrutura de pessoal do 2º grau de jurisdição –  que está sendo objeto de elaboração de projeto de lei que visa à extinção de 22 assessorias; 12 </w:t>
      </w:r>
      <w:r>
        <w:rPr>
          <w:rFonts w:ascii="Palatino Linotype" w:hAnsi="Palatino Linotype" w:cs="Arial"/>
          <w:sz w:val="24"/>
          <w:szCs w:val="24"/>
        </w:rPr>
        <w:lastRenderedPageBreak/>
        <w:t xml:space="preserve">gerências, 7 diretorias, 3 chefias de gabinete e 01 presidente da comissão de inquérito – irá priorizar o 1º grau. </w:t>
      </w:r>
      <w:r w:rsidRPr="00085DD5">
        <w:rPr>
          <w:rFonts w:ascii="Palatino Linotype" w:hAnsi="Palatino Linotype" w:cs="Arial"/>
          <w:b/>
          <w:sz w:val="24"/>
          <w:szCs w:val="24"/>
          <w:u w:val="single"/>
        </w:rPr>
        <w:t>No entanto, não o fará com relação à equalização do percentual acima apontado, pois a maioria maciça de tais cargos comissionados</w:t>
      </w:r>
      <w:r w:rsidR="00085DD5">
        <w:rPr>
          <w:rFonts w:ascii="Palatino Linotype" w:hAnsi="Palatino Linotype" w:cs="Arial"/>
          <w:b/>
          <w:sz w:val="24"/>
          <w:szCs w:val="24"/>
          <w:u w:val="single"/>
        </w:rPr>
        <w:t xml:space="preserve"> (</w:t>
      </w:r>
      <w:r w:rsidRPr="00085DD5">
        <w:rPr>
          <w:rFonts w:ascii="Palatino Linotype" w:hAnsi="Palatino Linotype" w:cs="Arial"/>
          <w:b/>
          <w:sz w:val="24"/>
          <w:szCs w:val="24"/>
          <w:u w:val="single"/>
        </w:rPr>
        <w:t xml:space="preserve">hoje </w:t>
      </w:r>
      <w:r w:rsidR="00085DD5">
        <w:rPr>
          <w:rFonts w:ascii="Palatino Linotype" w:hAnsi="Palatino Linotype" w:cs="Arial"/>
          <w:b/>
          <w:sz w:val="24"/>
          <w:szCs w:val="24"/>
          <w:u w:val="single"/>
        </w:rPr>
        <w:t>n</w:t>
      </w:r>
      <w:r w:rsidRPr="00085DD5">
        <w:rPr>
          <w:rFonts w:ascii="Palatino Linotype" w:hAnsi="Palatino Linotype" w:cs="Arial"/>
          <w:b/>
          <w:sz w:val="24"/>
          <w:szCs w:val="24"/>
          <w:u w:val="single"/>
        </w:rPr>
        <w:t>ão providos e com proposta de extinção</w:t>
      </w:r>
      <w:r w:rsidR="00085DD5">
        <w:rPr>
          <w:rFonts w:ascii="Palatino Linotype" w:hAnsi="Palatino Linotype" w:cs="Arial"/>
          <w:b/>
          <w:sz w:val="24"/>
          <w:szCs w:val="24"/>
          <w:u w:val="single"/>
        </w:rPr>
        <w:t>)</w:t>
      </w:r>
      <w:r w:rsidRPr="00085DD5">
        <w:rPr>
          <w:rFonts w:ascii="Palatino Linotype" w:hAnsi="Palatino Linotype" w:cs="Arial"/>
          <w:b/>
          <w:sz w:val="24"/>
          <w:szCs w:val="24"/>
          <w:u w:val="single"/>
        </w:rPr>
        <w:t xml:space="preserve">, são da área de apoio direto e, portanto, não entram na regra do art. 12 da Res. 219/16, mas sim no percentual de 30% (trinta por cento), imposto pelo </w:t>
      </w:r>
      <w:r w:rsidR="00E21305" w:rsidRPr="00085DD5">
        <w:rPr>
          <w:rFonts w:ascii="Palatino Linotype" w:hAnsi="Palatino Linotype" w:cs="Arial"/>
          <w:b/>
          <w:sz w:val="24"/>
          <w:szCs w:val="24"/>
          <w:u w:val="single"/>
        </w:rPr>
        <w:t xml:space="preserve">seu </w:t>
      </w:r>
      <w:r w:rsidRPr="00085DD5">
        <w:rPr>
          <w:rFonts w:ascii="Palatino Linotype" w:hAnsi="Palatino Linotype" w:cs="Arial"/>
          <w:b/>
          <w:sz w:val="24"/>
          <w:szCs w:val="24"/>
          <w:u w:val="single"/>
        </w:rPr>
        <w:t xml:space="preserve">art. </w:t>
      </w:r>
      <w:r w:rsidR="00E21305" w:rsidRPr="00085DD5">
        <w:rPr>
          <w:rFonts w:ascii="Palatino Linotype" w:hAnsi="Palatino Linotype" w:cs="Arial"/>
          <w:b/>
          <w:sz w:val="24"/>
          <w:szCs w:val="24"/>
          <w:u w:val="single"/>
        </w:rPr>
        <w:t>14</w:t>
      </w:r>
      <w:r w:rsidR="00E21305">
        <w:rPr>
          <w:rFonts w:ascii="Palatino Linotype" w:hAnsi="Palatino Linotype" w:cs="Arial"/>
          <w:sz w:val="24"/>
          <w:szCs w:val="24"/>
        </w:rPr>
        <w:t>.</w:t>
      </w:r>
      <w:r>
        <w:rPr>
          <w:rFonts w:ascii="Palatino Linotype" w:hAnsi="Palatino Linotype" w:cs="Arial"/>
          <w:sz w:val="24"/>
          <w:szCs w:val="24"/>
        </w:rPr>
        <w:t xml:space="preserve">   </w:t>
      </w:r>
    </w:p>
    <w:p w:rsidR="00E21305" w:rsidRDefault="00E21305" w:rsidP="00C54582">
      <w:pPr>
        <w:spacing w:after="0" w:line="360" w:lineRule="auto"/>
        <w:jc w:val="both"/>
        <w:rPr>
          <w:rFonts w:ascii="Palatino Linotype" w:hAnsi="Palatino Linotype" w:cs="Arial"/>
          <w:sz w:val="24"/>
          <w:szCs w:val="24"/>
        </w:rPr>
      </w:pPr>
    </w:p>
    <w:p w:rsidR="00E21305" w:rsidRPr="00085DD5" w:rsidRDefault="00E21305" w:rsidP="00C54582">
      <w:pPr>
        <w:spacing w:after="0" w:line="360" w:lineRule="auto"/>
        <w:jc w:val="both"/>
        <w:rPr>
          <w:rFonts w:ascii="Palatino Linotype" w:hAnsi="Palatino Linotype" w:cs="Arial"/>
          <w:b/>
          <w:sz w:val="24"/>
          <w:szCs w:val="24"/>
          <w:u w:val="single"/>
        </w:rPr>
      </w:pPr>
      <w:r>
        <w:rPr>
          <w:rFonts w:ascii="Palatino Linotype" w:hAnsi="Palatino Linotype" w:cs="Arial"/>
          <w:sz w:val="24"/>
          <w:szCs w:val="24"/>
        </w:rPr>
        <w:tab/>
      </w:r>
      <w:r>
        <w:rPr>
          <w:rFonts w:ascii="Palatino Linotype" w:hAnsi="Palatino Linotype" w:cs="Arial"/>
          <w:sz w:val="24"/>
          <w:szCs w:val="24"/>
        </w:rPr>
        <w:tab/>
      </w:r>
      <w:r>
        <w:rPr>
          <w:rFonts w:ascii="Palatino Linotype" w:hAnsi="Palatino Linotype" w:cs="Arial"/>
          <w:sz w:val="24"/>
          <w:szCs w:val="24"/>
        </w:rPr>
        <w:tab/>
        <w:t>No que diz respeito ao impacto na criação dos 40 (quarenta) cargos de assessor de 1º grau bem como da elevação de suas remunerações, temos que</w:t>
      </w:r>
      <w:r w:rsidR="00085DD5">
        <w:rPr>
          <w:rFonts w:ascii="Palatino Linotype" w:hAnsi="Palatino Linotype" w:cs="Arial"/>
          <w:sz w:val="24"/>
          <w:szCs w:val="24"/>
        </w:rPr>
        <w:t>,</w:t>
      </w:r>
      <w:r>
        <w:rPr>
          <w:rFonts w:ascii="Palatino Linotype" w:hAnsi="Palatino Linotype" w:cs="Arial"/>
          <w:sz w:val="24"/>
          <w:szCs w:val="24"/>
        </w:rPr>
        <w:t xml:space="preserve"> </w:t>
      </w:r>
      <w:r w:rsidR="00085DD5">
        <w:rPr>
          <w:rFonts w:ascii="Palatino Linotype" w:hAnsi="Palatino Linotype" w:cs="Arial"/>
          <w:sz w:val="24"/>
          <w:szCs w:val="24"/>
        </w:rPr>
        <w:t xml:space="preserve">embora </w:t>
      </w:r>
      <w:r>
        <w:rPr>
          <w:rFonts w:ascii="Palatino Linotype" w:hAnsi="Palatino Linotype" w:cs="Arial"/>
          <w:sz w:val="24"/>
          <w:szCs w:val="24"/>
        </w:rPr>
        <w:t xml:space="preserve">informalmente tenha sido avaliado que o 2º grau ainda ficará com aproximadamente 64% (sessenta e quatro) por cento dos recursos destinados ao pagamento de cargos comissionados, não houve confirmação formal desse dado. </w:t>
      </w:r>
      <w:r w:rsidRPr="00085DD5">
        <w:rPr>
          <w:rFonts w:ascii="Palatino Linotype" w:hAnsi="Palatino Linotype" w:cs="Arial"/>
          <w:b/>
          <w:sz w:val="24"/>
          <w:szCs w:val="24"/>
          <w:u w:val="single"/>
        </w:rPr>
        <w:t xml:space="preserve">Desse modo, fica desde já requerido que o TJPB apresente novos cálculos relativos à regra do art. 12 da Res. 219/16, bem como que a cumpra, integralmente. </w:t>
      </w:r>
    </w:p>
    <w:p w:rsidR="00E21305" w:rsidRDefault="00E21305" w:rsidP="00C54582">
      <w:pPr>
        <w:spacing w:after="0" w:line="360" w:lineRule="auto"/>
        <w:jc w:val="both"/>
        <w:rPr>
          <w:rFonts w:ascii="Palatino Linotype" w:hAnsi="Palatino Linotype" w:cs="Arial"/>
          <w:sz w:val="24"/>
          <w:szCs w:val="24"/>
        </w:rPr>
      </w:pPr>
    </w:p>
    <w:p w:rsidR="00E21305" w:rsidRPr="00085DD5" w:rsidRDefault="00E21305" w:rsidP="00C54582">
      <w:pPr>
        <w:spacing w:after="0" w:line="360" w:lineRule="auto"/>
        <w:jc w:val="both"/>
        <w:rPr>
          <w:rFonts w:ascii="Palatino Linotype" w:hAnsi="Palatino Linotype" w:cs="Arial"/>
          <w:sz w:val="24"/>
          <w:szCs w:val="24"/>
        </w:rPr>
      </w:pPr>
      <w:r>
        <w:rPr>
          <w:rFonts w:ascii="Palatino Linotype" w:hAnsi="Palatino Linotype" w:cs="Arial"/>
          <w:sz w:val="24"/>
          <w:szCs w:val="24"/>
        </w:rPr>
        <w:tab/>
      </w:r>
      <w:r>
        <w:rPr>
          <w:rFonts w:ascii="Palatino Linotype" w:hAnsi="Palatino Linotype" w:cs="Arial"/>
          <w:sz w:val="24"/>
          <w:szCs w:val="24"/>
        </w:rPr>
        <w:tab/>
      </w:r>
      <w:r>
        <w:rPr>
          <w:rFonts w:ascii="Palatino Linotype" w:hAnsi="Palatino Linotype" w:cs="Arial"/>
          <w:sz w:val="24"/>
          <w:szCs w:val="24"/>
        </w:rPr>
        <w:tab/>
        <w:t xml:space="preserve">Para esse fim, esta Entidade de classe frisa a necessidade de o TJPB dar cumprimento ao achado da última inspeção do Conselho Nacional de Justiça que, constatando uma quantidade desproporcional de assessores nos gabinetes dos desembargadores, recomendou que  </w:t>
      </w:r>
      <w:r>
        <w:rPr>
          <w:rFonts w:ascii="Palatino Linotype" w:hAnsi="Palatino Linotype" w:cs="Arial"/>
          <w:i/>
          <w:sz w:val="24"/>
          <w:szCs w:val="24"/>
        </w:rPr>
        <w:t xml:space="preserve">“reavalie a estrutura de cargos no âmbito dos gabinetes de desembargadores a fim de transformar, de acordo com a disponibilidade orçamentária do Tribunal e sem que isso implique aumento de despesa, </w:t>
      </w:r>
      <w:r w:rsidRPr="00085DD5">
        <w:rPr>
          <w:rFonts w:ascii="Palatino Linotype" w:hAnsi="Palatino Linotype" w:cs="Arial"/>
          <w:b/>
          <w:i/>
          <w:sz w:val="24"/>
          <w:szCs w:val="24"/>
          <w:u w:val="single"/>
        </w:rPr>
        <w:t>ao menos 2 cargos de assistente jurídico de cada gabinete de desembargador (CAS-01) em cargos de assessores de gabinete de juízo de primeiro grau (PJ-SFJ-300), que deverão ser distribuídos entre os juízos de primeiro grau que apresentem déficit na força de trabalho”</w:t>
      </w:r>
      <w:r w:rsidR="00085DD5">
        <w:rPr>
          <w:rFonts w:ascii="Palatino Linotype" w:hAnsi="Palatino Linotype" w:cs="Arial"/>
          <w:sz w:val="24"/>
          <w:szCs w:val="24"/>
        </w:rPr>
        <w:t xml:space="preserve"> (grifo nosso).</w:t>
      </w:r>
    </w:p>
    <w:p w:rsidR="00534B99" w:rsidRDefault="00534B99" w:rsidP="00C54582">
      <w:pPr>
        <w:spacing w:after="0" w:line="360" w:lineRule="auto"/>
        <w:jc w:val="both"/>
        <w:rPr>
          <w:rFonts w:ascii="Palatino Linotype" w:hAnsi="Palatino Linotype" w:cs="Arial"/>
          <w:sz w:val="24"/>
          <w:szCs w:val="24"/>
        </w:rPr>
      </w:pPr>
    </w:p>
    <w:p w:rsidR="00534B99" w:rsidRPr="00534B99" w:rsidRDefault="00534B99" w:rsidP="00C54582">
      <w:pPr>
        <w:spacing w:after="0" w:line="360" w:lineRule="auto"/>
        <w:jc w:val="both"/>
        <w:rPr>
          <w:rFonts w:ascii="Palatino Linotype" w:hAnsi="Palatino Linotype" w:cs="Arial"/>
          <w:sz w:val="24"/>
          <w:szCs w:val="24"/>
        </w:rPr>
      </w:pPr>
      <w:r>
        <w:rPr>
          <w:rFonts w:ascii="Palatino Linotype" w:hAnsi="Palatino Linotype" w:cs="Arial"/>
          <w:sz w:val="24"/>
          <w:szCs w:val="24"/>
        </w:rPr>
        <w:lastRenderedPageBreak/>
        <w:tab/>
      </w:r>
      <w:r>
        <w:rPr>
          <w:rFonts w:ascii="Palatino Linotype" w:hAnsi="Palatino Linotype" w:cs="Arial"/>
          <w:sz w:val="24"/>
          <w:szCs w:val="24"/>
        </w:rPr>
        <w:tab/>
      </w:r>
      <w:r>
        <w:rPr>
          <w:rFonts w:ascii="Palatino Linotype" w:hAnsi="Palatino Linotype" w:cs="Arial"/>
          <w:sz w:val="24"/>
          <w:szCs w:val="24"/>
        </w:rPr>
        <w:tab/>
        <w:t xml:space="preserve">Necessário também que o TJPB observe a lotação paradigma dos gabinetes do 2º grau que, segundo </w:t>
      </w:r>
      <w:r w:rsidR="00085DD5">
        <w:rPr>
          <w:rFonts w:ascii="Palatino Linotype" w:hAnsi="Palatino Linotype" w:cs="Arial"/>
          <w:sz w:val="24"/>
          <w:szCs w:val="24"/>
        </w:rPr>
        <w:t>seus</w:t>
      </w:r>
      <w:r>
        <w:rPr>
          <w:rFonts w:ascii="Palatino Linotype" w:hAnsi="Palatino Linotype" w:cs="Arial"/>
          <w:sz w:val="24"/>
          <w:szCs w:val="24"/>
        </w:rPr>
        <w:t xml:space="preserve"> estudos, apontam para a existência de força de trabalho excedente. </w:t>
      </w:r>
    </w:p>
    <w:p w:rsidR="00E21305" w:rsidRDefault="00E21305" w:rsidP="00C54582">
      <w:pPr>
        <w:spacing w:after="0" w:line="360" w:lineRule="auto"/>
        <w:jc w:val="both"/>
        <w:rPr>
          <w:rFonts w:ascii="Palatino Linotype" w:hAnsi="Palatino Linotype" w:cs="Arial"/>
          <w:i/>
          <w:sz w:val="24"/>
          <w:szCs w:val="24"/>
        </w:rPr>
      </w:pPr>
    </w:p>
    <w:p w:rsidR="00DE4E38" w:rsidRDefault="00DE4E38" w:rsidP="00DE4E38">
      <w:pPr>
        <w:spacing w:after="0" w:line="360" w:lineRule="auto"/>
        <w:ind w:firstLine="708"/>
        <w:jc w:val="both"/>
        <w:rPr>
          <w:rFonts w:ascii="Palatino Linotype" w:hAnsi="Palatino Linotype" w:cs="Arial"/>
          <w:sz w:val="24"/>
          <w:szCs w:val="24"/>
        </w:rPr>
      </w:pPr>
      <w:r>
        <w:rPr>
          <w:rFonts w:ascii="Palatino Linotype" w:hAnsi="Palatino Linotype" w:cs="Arial"/>
          <w:sz w:val="24"/>
          <w:szCs w:val="24"/>
        </w:rPr>
        <w:tab/>
      </w:r>
      <w:r>
        <w:rPr>
          <w:rFonts w:ascii="Palatino Linotype" w:hAnsi="Palatino Linotype" w:cs="Arial"/>
          <w:sz w:val="24"/>
          <w:szCs w:val="24"/>
        </w:rPr>
        <w:tab/>
        <w:t>De fato, a desproporção entre a força de trabalho da área fim entre os graus de jurisdição no PJPB é gritante. Enquanto cada juiz tem, no máximo, 2 assessores; cada desembargador tem 1 chefe de gabinete, 5 assistentes jurídicos e 2 assessores, ou seja, 8 pessoas para lhe auxiliarem na elaboração de minutas. Não se há de olvidar que cada gabinete do 2º grau ainda dispõe de duas pessoas, trabalhando mediante gratificação de 30%.</w:t>
      </w:r>
      <w:r w:rsidR="00534B99">
        <w:rPr>
          <w:rFonts w:ascii="Palatino Linotype" w:hAnsi="Palatino Linotype" w:cs="Arial"/>
          <w:sz w:val="24"/>
          <w:szCs w:val="24"/>
        </w:rPr>
        <w:t xml:space="preserve"> </w:t>
      </w:r>
    </w:p>
    <w:p w:rsidR="00534B99" w:rsidRDefault="00534B99" w:rsidP="00DE4E38">
      <w:pPr>
        <w:spacing w:after="0" w:line="360" w:lineRule="auto"/>
        <w:ind w:firstLine="708"/>
        <w:jc w:val="both"/>
        <w:rPr>
          <w:rFonts w:ascii="Palatino Linotype" w:hAnsi="Palatino Linotype" w:cs="Arial"/>
          <w:sz w:val="24"/>
          <w:szCs w:val="24"/>
        </w:rPr>
      </w:pPr>
    </w:p>
    <w:p w:rsidR="00DE153C" w:rsidRPr="000769E7" w:rsidRDefault="00534B99" w:rsidP="00534B99">
      <w:pPr>
        <w:spacing w:after="0" w:line="360" w:lineRule="auto"/>
        <w:ind w:firstLine="708"/>
        <w:jc w:val="both"/>
        <w:rPr>
          <w:rFonts w:ascii="Palatino Linotype" w:hAnsi="Palatino Linotype" w:cs="Arial"/>
          <w:sz w:val="24"/>
          <w:szCs w:val="24"/>
        </w:rPr>
      </w:pPr>
      <w:r>
        <w:rPr>
          <w:rFonts w:ascii="Palatino Linotype" w:hAnsi="Palatino Linotype" w:cs="Arial"/>
          <w:sz w:val="24"/>
          <w:szCs w:val="24"/>
        </w:rPr>
        <w:tab/>
      </w:r>
      <w:r>
        <w:rPr>
          <w:rFonts w:ascii="Palatino Linotype" w:hAnsi="Palatino Linotype" w:cs="Arial"/>
          <w:sz w:val="24"/>
          <w:szCs w:val="24"/>
        </w:rPr>
        <w:tab/>
      </w:r>
      <w:r w:rsidR="00DE153C" w:rsidRPr="000769E7">
        <w:rPr>
          <w:rFonts w:ascii="Palatino Linotype" w:hAnsi="Palatino Linotype" w:cs="Arial"/>
          <w:sz w:val="24"/>
          <w:szCs w:val="24"/>
        </w:rPr>
        <w:t xml:space="preserve">Premente, portanto, a firme atuação deste Conselho Nacional de Justiça no sentido fazer valer a Política de Priorização há tempos instituída e a todo tempo descumprida.  </w:t>
      </w:r>
    </w:p>
    <w:p w:rsidR="00DE153C" w:rsidRDefault="00DE153C" w:rsidP="00DE153C">
      <w:pPr>
        <w:spacing w:after="0" w:line="360" w:lineRule="auto"/>
        <w:ind w:firstLine="2127"/>
        <w:jc w:val="both"/>
        <w:rPr>
          <w:rFonts w:ascii="Palatino Linotype" w:hAnsi="Palatino Linotype" w:cs="Arial"/>
          <w:sz w:val="24"/>
          <w:szCs w:val="24"/>
        </w:rPr>
      </w:pPr>
    </w:p>
    <w:p w:rsidR="00DE153C" w:rsidRPr="0021099A" w:rsidRDefault="00DE153C" w:rsidP="00DE153C">
      <w:pPr>
        <w:spacing w:before="100" w:beforeAutospacing="1" w:after="0" w:line="360" w:lineRule="auto"/>
        <w:jc w:val="both"/>
        <w:rPr>
          <w:rFonts w:ascii="Times New Roman" w:eastAsia="Times New Roman" w:hAnsi="Times New Roman"/>
          <w:sz w:val="24"/>
          <w:szCs w:val="24"/>
          <w:lang w:eastAsia="pt-BR"/>
        </w:rPr>
      </w:pPr>
      <w:r w:rsidRPr="0021099A">
        <w:rPr>
          <w:rFonts w:ascii="Palatino Linotype" w:eastAsia="Times New Roman" w:hAnsi="Palatino Linotype"/>
          <w:b/>
          <w:bCs/>
          <w:sz w:val="24"/>
          <w:szCs w:val="24"/>
          <w:lang w:eastAsia="pt-BR"/>
        </w:rPr>
        <w:t>4. CUMPRIMENTO DO § 2º DO ART. 12 DA RESOLUÇÃO 219/16 - CRIAÇÃO DE CARGOS DE ASSESSOR PARA ATENDER A TODAS AS UNIDADES JUDICIÁRIAS</w:t>
      </w:r>
    </w:p>
    <w:p w:rsidR="00DE153C" w:rsidRDefault="00DE153C" w:rsidP="00DE153C">
      <w:pPr>
        <w:spacing w:before="100" w:beforeAutospacing="1" w:after="0" w:line="360" w:lineRule="auto"/>
        <w:ind w:firstLine="2127"/>
        <w:jc w:val="both"/>
        <w:rPr>
          <w:rFonts w:ascii="Palatino Linotype" w:eastAsia="Times New Roman" w:hAnsi="Palatino Linotype"/>
          <w:sz w:val="24"/>
          <w:szCs w:val="24"/>
          <w:lang w:eastAsia="pt-BR"/>
        </w:rPr>
      </w:pPr>
      <w:r w:rsidRPr="0021099A">
        <w:rPr>
          <w:rFonts w:ascii="Palatino Linotype" w:eastAsia="Times New Roman" w:hAnsi="Palatino Linotype"/>
          <w:sz w:val="24"/>
          <w:szCs w:val="24"/>
          <w:lang w:eastAsia="pt-BR"/>
        </w:rPr>
        <w:t>De acordo com o art. 12, §2º</w:t>
      </w:r>
      <w:r>
        <w:rPr>
          <w:rFonts w:ascii="Palatino Linotype" w:eastAsia="Times New Roman" w:hAnsi="Palatino Linotype"/>
          <w:sz w:val="24"/>
          <w:szCs w:val="24"/>
          <w:lang w:eastAsia="pt-BR"/>
        </w:rPr>
        <w:t>,</w:t>
      </w:r>
      <w:r w:rsidRPr="0021099A">
        <w:rPr>
          <w:rFonts w:ascii="Palatino Linotype" w:eastAsia="Times New Roman" w:hAnsi="Palatino Linotype"/>
          <w:sz w:val="24"/>
          <w:szCs w:val="24"/>
          <w:lang w:eastAsia="pt-BR"/>
        </w:rPr>
        <w:t xml:space="preserve"> da Res.  219 deste  Conselho </w:t>
      </w:r>
      <w:r w:rsidRPr="0021099A">
        <w:rPr>
          <w:rFonts w:ascii="Palatino Linotype" w:eastAsia="Times New Roman" w:hAnsi="Palatino Linotype"/>
          <w:i/>
          <w:iCs/>
          <w:sz w:val="24"/>
          <w:szCs w:val="24"/>
          <w:lang w:eastAsia="pt-BR"/>
        </w:rPr>
        <w:t xml:space="preserve">“os tribunais devem aplicar o disposto neste artigo </w:t>
      </w:r>
      <w:r w:rsidRPr="0021099A">
        <w:rPr>
          <w:rFonts w:ascii="Palatino Linotype" w:eastAsia="Times New Roman" w:hAnsi="Palatino Linotype"/>
          <w:b/>
          <w:bCs/>
          <w:i/>
          <w:iCs/>
          <w:sz w:val="24"/>
          <w:szCs w:val="24"/>
          <w:u w:val="single"/>
          <w:lang w:eastAsia="pt-BR"/>
        </w:rPr>
        <w:t>de modo a garantir a alocação de cargos em comissão ou funções de confiança em todas as unidades judiciárias, em numero suficiente para assessoramento de cada um dos Magistrados</w:t>
      </w:r>
      <w:r w:rsidRPr="0021099A">
        <w:rPr>
          <w:rFonts w:ascii="Palatino Linotype" w:eastAsia="Times New Roman" w:hAnsi="Palatino Linotype"/>
          <w:i/>
          <w:iCs/>
          <w:sz w:val="24"/>
          <w:szCs w:val="24"/>
          <w:lang w:eastAsia="pt-BR"/>
        </w:rPr>
        <w:t>”. (Grifos nossos)</w:t>
      </w:r>
      <w:r w:rsidRPr="0021099A">
        <w:rPr>
          <w:rFonts w:ascii="Palatino Linotype" w:eastAsia="Times New Roman" w:hAnsi="Palatino Linotype"/>
          <w:sz w:val="24"/>
          <w:szCs w:val="24"/>
          <w:lang w:eastAsia="pt-BR"/>
        </w:rPr>
        <w:t xml:space="preserve">. </w:t>
      </w:r>
    </w:p>
    <w:p w:rsidR="00067059" w:rsidRDefault="00067059" w:rsidP="00DE153C">
      <w:pPr>
        <w:spacing w:before="100" w:beforeAutospacing="1" w:after="0" w:line="360" w:lineRule="auto"/>
        <w:ind w:firstLine="2127"/>
        <w:jc w:val="both"/>
        <w:rPr>
          <w:rFonts w:ascii="Palatino Linotype" w:eastAsia="Times New Roman" w:hAnsi="Palatino Linotype"/>
          <w:sz w:val="24"/>
          <w:szCs w:val="24"/>
          <w:lang w:eastAsia="pt-BR"/>
        </w:rPr>
      </w:pPr>
      <w:r>
        <w:rPr>
          <w:rFonts w:ascii="Palatino Linotype" w:eastAsia="Times New Roman" w:hAnsi="Palatino Linotype"/>
          <w:sz w:val="24"/>
          <w:szCs w:val="24"/>
          <w:lang w:eastAsia="pt-BR"/>
        </w:rPr>
        <w:t xml:space="preserve">Como é do conhecimento de V. </w:t>
      </w:r>
      <w:proofErr w:type="spellStart"/>
      <w:r>
        <w:rPr>
          <w:rFonts w:ascii="Palatino Linotype" w:eastAsia="Times New Roman" w:hAnsi="Palatino Linotype"/>
          <w:sz w:val="24"/>
          <w:szCs w:val="24"/>
          <w:lang w:eastAsia="pt-BR"/>
        </w:rPr>
        <w:t>Excia</w:t>
      </w:r>
      <w:proofErr w:type="spellEnd"/>
      <w:r>
        <w:rPr>
          <w:rFonts w:ascii="Palatino Linotype" w:eastAsia="Times New Roman" w:hAnsi="Palatino Linotype"/>
          <w:sz w:val="24"/>
          <w:szCs w:val="24"/>
          <w:lang w:eastAsia="pt-BR"/>
        </w:rPr>
        <w:t xml:space="preserve">., o Tribunal de Justiça remeteu à Assembleia Legislativa projeto de lei de criação de 40 (quarenta) </w:t>
      </w:r>
      <w:r>
        <w:rPr>
          <w:rFonts w:ascii="Palatino Linotype" w:eastAsia="Times New Roman" w:hAnsi="Palatino Linotype"/>
          <w:sz w:val="24"/>
          <w:szCs w:val="24"/>
          <w:lang w:eastAsia="pt-BR"/>
        </w:rPr>
        <w:lastRenderedPageBreak/>
        <w:t xml:space="preserve">cargos de assessor de 1º grau. Já houve aprovação e agora </w:t>
      </w:r>
      <w:r w:rsidR="00085DD5">
        <w:rPr>
          <w:rFonts w:ascii="Palatino Linotype" w:eastAsia="Times New Roman" w:hAnsi="Palatino Linotype"/>
          <w:sz w:val="24"/>
          <w:szCs w:val="24"/>
          <w:lang w:eastAsia="pt-BR"/>
        </w:rPr>
        <w:t xml:space="preserve">se </w:t>
      </w:r>
      <w:r>
        <w:rPr>
          <w:rFonts w:ascii="Palatino Linotype" w:eastAsia="Times New Roman" w:hAnsi="Palatino Linotype"/>
          <w:sz w:val="24"/>
          <w:szCs w:val="24"/>
          <w:lang w:eastAsia="pt-BR"/>
        </w:rPr>
        <w:t xml:space="preserve">aguarda a sanção do Governador do Estado. </w:t>
      </w:r>
    </w:p>
    <w:p w:rsidR="00067059" w:rsidRDefault="00067059" w:rsidP="00DE153C">
      <w:pPr>
        <w:spacing w:before="100" w:beforeAutospacing="1" w:after="0" w:line="360" w:lineRule="auto"/>
        <w:ind w:firstLine="2127"/>
        <w:jc w:val="both"/>
        <w:rPr>
          <w:rFonts w:ascii="Palatino Linotype" w:eastAsia="Times New Roman" w:hAnsi="Palatino Linotype"/>
          <w:sz w:val="24"/>
          <w:szCs w:val="24"/>
          <w:lang w:eastAsia="pt-BR"/>
        </w:rPr>
      </w:pPr>
      <w:r>
        <w:rPr>
          <w:rFonts w:ascii="Palatino Linotype" w:eastAsia="Times New Roman" w:hAnsi="Palatino Linotype"/>
          <w:sz w:val="24"/>
          <w:szCs w:val="24"/>
          <w:lang w:eastAsia="pt-BR"/>
        </w:rPr>
        <w:t xml:space="preserve">Pelas negociações travadas com o Tribunal de Justiça, tanto na gestão anterior – sob a presidência do desembargador </w:t>
      </w:r>
      <w:proofErr w:type="spellStart"/>
      <w:r>
        <w:rPr>
          <w:rFonts w:ascii="Palatino Linotype" w:eastAsia="Times New Roman" w:hAnsi="Palatino Linotype"/>
          <w:sz w:val="24"/>
          <w:szCs w:val="24"/>
          <w:lang w:eastAsia="pt-BR"/>
        </w:rPr>
        <w:t>Joás</w:t>
      </w:r>
      <w:proofErr w:type="spellEnd"/>
      <w:r>
        <w:rPr>
          <w:rFonts w:ascii="Palatino Linotype" w:eastAsia="Times New Roman" w:hAnsi="Palatino Linotype"/>
          <w:sz w:val="24"/>
          <w:szCs w:val="24"/>
          <w:lang w:eastAsia="pt-BR"/>
        </w:rPr>
        <w:t xml:space="preserve"> de Brito Pereira Filho – quanto nesta, de responsabilidade do presidente desembargador Márcio Murilo da Cunha Ramos, a administração sinalizou no sentido de que esse número seria suficiente para suprir todas as unidades judiciárias – incluídos os juízes auxiliares –  com um assessor. </w:t>
      </w:r>
    </w:p>
    <w:p w:rsidR="00067059" w:rsidRDefault="00067059" w:rsidP="00DE153C">
      <w:pPr>
        <w:spacing w:before="100" w:beforeAutospacing="1" w:after="0" w:line="360" w:lineRule="auto"/>
        <w:ind w:firstLine="2127"/>
        <w:jc w:val="both"/>
        <w:rPr>
          <w:rFonts w:ascii="Palatino Linotype" w:eastAsia="Times New Roman" w:hAnsi="Palatino Linotype"/>
          <w:sz w:val="24"/>
          <w:szCs w:val="24"/>
          <w:lang w:eastAsia="pt-BR"/>
        </w:rPr>
      </w:pPr>
      <w:r>
        <w:rPr>
          <w:rFonts w:ascii="Palatino Linotype" w:eastAsia="Times New Roman" w:hAnsi="Palatino Linotype"/>
          <w:sz w:val="24"/>
          <w:szCs w:val="24"/>
          <w:lang w:eastAsia="pt-BR"/>
        </w:rPr>
        <w:t xml:space="preserve">Na visão da gestão, os 40 </w:t>
      </w:r>
      <w:r w:rsidR="0070725F">
        <w:rPr>
          <w:rFonts w:ascii="Palatino Linotype" w:eastAsia="Times New Roman" w:hAnsi="Palatino Linotype"/>
          <w:sz w:val="24"/>
          <w:szCs w:val="24"/>
          <w:lang w:eastAsia="pt-BR"/>
        </w:rPr>
        <w:t xml:space="preserve">(quarenta) </w:t>
      </w:r>
      <w:r>
        <w:rPr>
          <w:rFonts w:ascii="Palatino Linotype" w:eastAsia="Times New Roman" w:hAnsi="Palatino Linotype"/>
          <w:sz w:val="24"/>
          <w:szCs w:val="24"/>
          <w:lang w:eastAsia="pt-BR"/>
        </w:rPr>
        <w:t xml:space="preserve">cargos criados seriam somados aos </w:t>
      </w:r>
      <w:r w:rsidR="0070725F">
        <w:rPr>
          <w:rFonts w:ascii="Palatino Linotype" w:eastAsia="Times New Roman" w:hAnsi="Palatino Linotype"/>
          <w:sz w:val="24"/>
          <w:szCs w:val="24"/>
          <w:lang w:eastAsia="pt-BR"/>
        </w:rPr>
        <w:t xml:space="preserve">35 (trinta e cinco) </w:t>
      </w:r>
      <w:r>
        <w:rPr>
          <w:rFonts w:ascii="Palatino Linotype" w:eastAsia="Times New Roman" w:hAnsi="Palatino Linotype"/>
          <w:sz w:val="24"/>
          <w:szCs w:val="24"/>
          <w:lang w:eastAsia="pt-BR"/>
        </w:rPr>
        <w:t>cargos de assessores de circunscrição</w:t>
      </w:r>
      <w:r w:rsidR="0070725F">
        <w:rPr>
          <w:rStyle w:val="Refdenotadefim"/>
          <w:rFonts w:ascii="Palatino Linotype" w:eastAsia="Times New Roman" w:hAnsi="Palatino Linotype"/>
          <w:sz w:val="24"/>
          <w:szCs w:val="24"/>
          <w:lang w:eastAsia="pt-BR"/>
        </w:rPr>
        <w:endnoteReference w:id="1"/>
      </w:r>
      <w:r w:rsidR="0070725F">
        <w:rPr>
          <w:rFonts w:ascii="Palatino Linotype" w:eastAsia="Times New Roman" w:hAnsi="Palatino Linotype"/>
          <w:sz w:val="24"/>
          <w:szCs w:val="24"/>
          <w:lang w:eastAsia="pt-BR"/>
        </w:rPr>
        <w:t xml:space="preserve"> (</w:t>
      </w:r>
      <w:r w:rsidR="006810F8">
        <w:rPr>
          <w:rFonts w:ascii="Palatino Linotype" w:eastAsia="Times New Roman" w:hAnsi="Palatino Linotype"/>
          <w:sz w:val="24"/>
          <w:szCs w:val="24"/>
          <w:lang w:eastAsia="pt-BR"/>
        </w:rPr>
        <w:t>1ª</w:t>
      </w:r>
      <w:r w:rsidR="0070725F">
        <w:rPr>
          <w:rFonts w:ascii="Palatino Linotype" w:eastAsia="Times New Roman" w:hAnsi="Palatino Linotype"/>
          <w:sz w:val="24"/>
          <w:szCs w:val="24"/>
          <w:lang w:eastAsia="pt-BR"/>
        </w:rPr>
        <w:t xml:space="preserve"> circunscrição: João Pessoa e Região; </w:t>
      </w:r>
      <w:r w:rsidR="006810F8">
        <w:rPr>
          <w:rFonts w:ascii="Palatino Linotype" w:eastAsia="Times New Roman" w:hAnsi="Palatino Linotype"/>
          <w:sz w:val="24"/>
          <w:szCs w:val="24"/>
          <w:lang w:eastAsia="pt-BR"/>
        </w:rPr>
        <w:t xml:space="preserve">2ª </w:t>
      </w:r>
      <w:r w:rsidR="0070725F">
        <w:rPr>
          <w:rFonts w:ascii="Palatino Linotype" w:eastAsia="Times New Roman" w:hAnsi="Palatino Linotype"/>
          <w:sz w:val="24"/>
          <w:szCs w:val="24"/>
          <w:lang w:eastAsia="pt-BR"/>
        </w:rPr>
        <w:t xml:space="preserve">circunscrição: Campina Grande e Região) atenderiam às aproximadamente 28 varas que não têm assessor e </w:t>
      </w:r>
      <w:r w:rsidR="006810F8">
        <w:rPr>
          <w:rFonts w:ascii="Palatino Linotype" w:eastAsia="Times New Roman" w:hAnsi="Palatino Linotype"/>
          <w:sz w:val="24"/>
          <w:szCs w:val="24"/>
          <w:lang w:eastAsia="pt-BR"/>
        </w:rPr>
        <w:t>a</w:t>
      </w:r>
      <w:r w:rsidR="0070725F">
        <w:rPr>
          <w:rFonts w:ascii="Palatino Linotype" w:eastAsia="Times New Roman" w:hAnsi="Palatino Linotype"/>
          <w:sz w:val="24"/>
          <w:szCs w:val="24"/>
          <w:lang w:eastAsia="pt-BR"/>
        </w:rPr>
        <w:t>os 4</w:t>
      </w:r>
      <w:r w:rsidR="006810F8">
        <w:rPr>
          <w:rFonts w:ascii="Palatino Linotype" w:eastAsia="Times New Roman" w:hAnsi="Palatino Linotype"/>
          <w:sz w:val="24"/>
          <w:szCs w:val="24"/>
          <w:lang w:eastAsia="pt-BR"/>
        </w:rPr>
        <w:t xml:space="preserve">7 juízes auxiliares. </w:t>
      </w:r>
    </w:p>
    <w:p w:rsidR="006810F8" w:rsidRDefault="006810F8" w:rsidP="00DE153C">
      <w:pPr>
        <w:spacing w:before="100" w:beforeAutospacing="1" w:after="0" w:line="360" w:lineRule="auto"/>
        <w:ind w:firstLine="2127"/>
        <w:jc w:val="both"/>
        <w:rPr>
          <w:rFonts w:ascii="Palatino Linotype" w:eastAsia="Times New Roman" w:hAnsi="Palatino Linotype"/>
          <w:sz w:val="24"/>
          <w:szCs w:val="24"/>
          <w:lang w:eastAsia="pt-BR"/>
        </w:rPr>
      </w:pPr>
      <w:r>
        <w:rPr>
          <w:rFonts w:ascii="Palatino Linotype" w:eastAsia="Times New Roman" w:hAnsi="Palatino Linotype"/>
          <w:sz w:val="24"/>
          <w:szCs w:val="24"/>
          <w:lang w:eastAsia="pt-BR"/>
        </w:rPr>
        <w:t>No dia 13 de maio de 2019 chegou a ser realizada uma reunião com o presidente do TJPB, o desembargador João Benedito e esta presidente da AMPB, contando ainda com a presença de outros auxiliares e assessores da presidência, na qual foi realizada proposta de acordo, com vistas a transportá-la para este Pedido de Providência</w:t>
      </w:r>
      <w:r w:rsidR="00E05FA9">
        <w:rPr>
          <w:rFonts w:ascii="Palatino Linotype" w:eastAsia="Times New Roman" w:hAnsi="Palatino Linotype"/>
          <w:sz w:val="24"/>
          <w:szCs w:val="24"/>
          <w:lang w:eastAsia="pt-BR"/>
        </w:rPr>
        <w:t>s</w:t>
      </w:r>
      <w:r>
        <w:rPr>
          <w:rFonts w:ascii="Palatino Linotype" w:eastAsia="Times New Roman" w:hAnsi="Palatino Linotype"/>
          <w:sz w:val="24"/>
          <w:szCs w:val="24"/>
          <w:lang w:eastAsia="pt-BR"/>
        </w:rPr>
        <w:t xml:space="preserve">. </w:t>
      </w:r>
    </w:p>
    <w:p w:rsidR="003844B9" w:rsidRDefault="003844B9" w:rsidP="00DE153C">
      <w:pPr>
        <w:spacing w:before="100" w:beforeAutospacing="1" w:after="0" w:line="360" w:lineRule="auto"/>
        <w:ind w:firstLine="2127"/>
        <w:jc w:val="both"/>
        <w:rPr>
          <w:rFonts w:ascii="Palatino Linotype" w:eastAsia="Times New Roman" w:hAnsi="Palatino Linotype"/>
          <w:sz w:val="24"/>
          <w:szCs w:val="24"/>
          <w:lang w:eastAsia="pt-BR"/>
        </w:rPr>
      </w:pPr>
      <w:r>
        <w:rPr>
          <w:rFonts w:ascii="Palatino Linotype" w:eastAsia="Times New Roman" w:hAnsi="Palatino Linotype"/>
          <w:sz w:val="24"/>
          <w:szCs w:val="24"/>
          <w:lang w:eastAsia="pt-BR"/>
        </w:rPr>
        <w:t>Sobre esse tema, a proposta de</w:t>
      </w:r>
      <w:r w:rsidR="006810F8">
        <w:rPr>
          <w:rFonts w:ascii="Palatino Linotype" w:eastAsia="Times New Roman" w:hAnsi="Palatino Linotype"/>
          <w:sz w:val="24"/>
          <w:szCs w:val="24"/>
          <w:lang w:eastAsia="pt-BR"/>
        </w:rPr>
        <w:t xml:space="preserve"> composição </w:t>
      </w:r>
      <w:r>
        <w:rPr>
          <w:rFonts w:ascii="Palatino Linotype" w:eastAsia="Times New Roman" w:hAnsi="Palatino Linotype"/>
          <w:sz w:val="24"/>
          <w:szCs w:val="24"/>
          <w:lang w:eastAsia="pt-BR"/>
        </w:rPr>
        <w:t xml:space="preserve">previa: </w:t>
      </w:r>
    </w:p>
    <w:p w:rsidR="003844B9" w:rsidRDefault="003844B9" w:rsidP="00DE153C">
      <w:pPr>
        <w:spacing w:before="100" w:beforeAutospacing="1" w:after="0" w:line="360" w:lineRule="auto"/>
        <w:ind w:firstLine="2127"/>
        <w:jc w:val="both"/>
        <w:rPr>
          <w:rFonts w:ascii="Palatino Linotype" w:eastAsia="Times New Roman" w:hAnsi="Palatino Linotype"/>
          <w:sz w:val="24"/>
          <w:szCs w:val="24"/>
          <w:lang w:eastAsia="pt-BR"/>
        </w:rPr>
      </w:pPr>
      <w:r>
        <w:rPr>
          <w:rFonts w:ascii="Palatino Linotype" w:eastAsia="Times New Roman" w:hAnsi="Palatino Linotype"/>
          <w:sz w:val="24"/>
          <w:szCs w:val="24"/>
          <w:lang w:eastAsia="pt-BR"/>
        </w:rPr>
        <w:t xml:space="preserve">a) o </w:t>
      </w:r>
      <w:r w:rsidRPr="003844B9">
        <w:rPr>
          <w:rFonts w:ascii="Palatino Linotype" w:eastAsia="Times New Roman" w:hAnsi="Palatino Linotype"/>
          <w:sz w:val="24"/>
          <w:szCs w:val="24"/>
          <w:lang w:eastAsia="pt-BR"/>
        </w:rPr>
        <w:t>e</w:t>
      </w:r>
      <w:r w:rsidR="006810F8" w:rsidRPr="003844B9">
        <w:rPr>
          <w:rFonts w:ascii="Palatino Linotype" w:eastAsia="Times New Roman" w:hAnsi="Palatino Linotype"/>
          <w:sz w:val="24"/>
          <w:szCs w:val="24"/>
          <w:lang w:eastAsia="pt-BR"/>
        </w:rPr>
        <w:t xml:space="preserve">ncaminhamento de projeto de lei, após os trâmites legais e necessários, para criação de 40 (quarenta) cargos de assessores de gabinete de juízo, seguido de imediata nomeação e posse, para o fim de atender ao disposto no art. 12. § 2º, da Resolução CNJ 219/2016. Esses assessores, somados ao quantitativo de assessores de gabinete dos juízos, atualmente </w:t>
      </w:r>
      <w:r w:rsidR="006810F8" w:rsidRPr="003844B9">
        <w:rPr>
          <w:rFonts w:ascii="Palatino Linotype" w:eastAsia="Times New Roman" w:hAnsi="Palatino Linotype"/>
          <w:sz w:val="24"/>
          <w:szCs w:val="24"/>
          <w:lang w:eastAsia="pt-BR"/>
        </w:rPr>
        <w:lastRenderedPageBreak/>
        <w:t>lotados nas 1ª e 2ª Circunscrições Judiciárias (assessores de circunscrição), ficar</w:t>
      </w:r>
      <w:r>
        <w:rPr>
          <w:rFonts w:ascii="Palatino Linotype" w:eastAsia="Times New Roman" w:hAnsi="Palatino Linotype"/>
          <w:sz w:val="24"/>
          <w:szCs w:val="24"/>
          <w:lang w:eastAsia="pt-BR"/>
        </w:rPr>
        <w:t>iam</w:t>
      </w:r>
      <w:r w:rsidR="006810F8" w:rsidRPr="003844B9">
        <w:rPr>
          <w:rFonts w:ascii="Palatino Linotype" w:eastAsia="Times New Roman" w:hAnsi="Palatino Linotype"/>
          <w:sz w:val="24"/>
          <w:szCs w:val="24"/>
          <w:lang w:eastAsia="pt-BR"/>
        </w:rPr>
        <w:t xml:space="preserve"> vinculados às unidades judiciárias que atualmente carecem desse suporte (em número de 28) e ao</w:t>
      </w:r>
      <w:r>
        <w:rPr>
          <w:rFonts w:ascii="Palatino Linotype" w:eastAsia="Times New Roman" w:hAnsi="Palatino Linotype"/>
          <w:sz w:val="24"/>
          <w:szCs w:val="24"/>
          <w:lang w:eastAsia="pt-BR"/>
        </w:rPr>
        <w:t>s</w:t>
      </w:r>
      <w:r w:rsidR="006810F8" w:rsidRPr="003844B9">
        <w:rPr>
          <w:rFonts w:ascii="Palatino Linotype" w:eastAsia="Times New Roman" w:hAnsi="Palatino Linotype"/>
          <w:sz w:val="24"/>
          <w:szCs w:val="24"/>
          <w:lang w:eastAsia="pt-BR"/>
        </w:rPr>
        <w:t xml:space="preserve"> Juízes de Direito Auxiliares da 1ª e 2ª Circunscrições Judiciárias; </w:t>
      </w:r>
    </w:p>
    <w:p w:rsidR="003844B9" w:rsidRDefault="003844B9" w:rsidP="00DE153C">
      <w:pPr>
        <w:spacing w:before="100" w:beforeAutospacing="1" w:after="0" w:line="360" w:lineRule="auto"/>
        <w:ind w:firstLine="2127"/>
        <w:jc w:val="both"/>
        <w:rPr>
          <w:rFonts w:ascii="Palatino Linotype" w:eastAsia="Times New Roman" w:hAnsi="Palatino Linotype"/>
          <w:sz w:val="24"/>
          <w:szCs w:val="24"/>
          <w:lang w:eastAsia="pt-BR"/>
        </w:rPr>
      </w:pPr>
      <w:r>
        <w:rPr>
          <w:rFonts w:ascii="Palatino Linotype" w:eastAsia="Times New Roman" w:hAnsi="Palatino Linotype"/>
          <w:sz w:val="24"/>
          <w:szCs w:val="24"/>
          <w:lang w:eastAsia="pt-BR"/>
        </w:rPr>
        <w:t xml:space="preserve">b) que os </w:t>
      </w:r>
      <w:r w:rsidR="006810F8" w:rsidRPr="003844B9">
        <w:rPr>
          <w:rFonts w:ascii="Palatino Linotype" w:eastAsia="Times New Roman" w:hAnsi="Palatino Linotype"/>
          <w:sz w:val="24"/>
          <w:szCs w:val="24"/>
          <w:lang w:eastAsia="pt-BR"/>
        </w:rPr>
        <w:t>Juízes de Direito poder</w:t>
      </w:r>
      <w:r>
        <w:rPr>
          <w:rFonts w:ascii="Palatino Linotype" w:eastAsia="Times New Roman" w:hAnsi="Palatino Linotype"/>
          <w:sz w:val="24"/>
          <w:szCs w:val="24"/>
          <w:lang w:eastAsia="pt-BR"/>
        </w:rPr>
        <w:t>iam</w:t>
      </w:r>
      <w:r w:rsidR="006810F8" w:rsidRPr="003844B9">
        <w:rPr>
          <w:rFonts w:ascii="Palatino Linotype" w:eastAsia="Times New Roman" w:hAnsi="Palatino Linotype"/>
          <w:sz w:val="24"/>
          <w:szCs w:val="24"/>
          <w:lang w:eastAsia="pt-BR"/>
        </w:rPr>
        <w:t xml:space="preserve"> indicar assessores de sua confiança, observados os requisitos legais; </w:t>
      </w:r>
    </w:p>
    <w:p w:rsidR="006810F8" w:rsidRDefault="003844B9" w:rsidP="00DE153C">
      <w:pPr>
        <w:spacing w:before="100" w:beforeAutospacing="1" w:after="0" w:line="360" w:lineRule="auto"/>
        <w:ind w:firstLine="2127"/>
        <w:jc w:val="both"/>
        <w:rPr>
          <w:rFonts w:ascii="Palatino Linotype" w:eastAsia="Times New Roman" w:hAnsi="Palatino Linotype"/>
          <w:sz w:val="24"/>
          <w:szCs w:val="24"/>
          <w:lang w:eastAsia="pt-BR"/>
        </w:rPr>
      </w:pPr>
      <w:r>
        <w:rPr>
          <w:rFonts w:ascii="Palatino Linotype" w:eastAsia="Times New Roman" w:hAnsi="Palatino Linotype"/>
          <w:sz w:val="24"/>
          <w:szCs w:val="24"/>
          <w:lang w:eastAsia="pt-BR"/>
        </w:rPr>
        <w:t>b)</w:t>
      </w:r>
      <w:r w:rsidRPr="003844B9">
        <w:rPr>
          <w:rFonts w:ascii="Palatino Linotype" w:eastAsia="Times New Roman" w:hAnsi="Palatino Linotype"/>
          <w:sz w:val="24"/>
          <w:szCs w:val="24"/>
          <w:lang w:eastAsia="pt-BR"/>
        </w:rPr>
        <w:t xml:space="preserve"> </w:t>
      </w:r>
      <w:r>
        <w:rPr>
          <w:rFonts w:ascii="Palatino Linotype" w:eastAsia="Times New Roman" w:hAnsi="Palatino Linotype"/>
          <w:sz w:val="24"/>
          <w:szCs w:val="24"/>
          <w:lang w:eastAsia="pt-BR"/>
        </w:rPr>
        <w:t>que, qua</w:t>
      </w:r>
      <w:r w:rsidRPr="003844B9">
        <w:rPr>
          <w:rFonts w:ascii="Palatino Linotype" w:eastAsia="Times New Roman" w:hAnsi="Palatino Linotype"/>
          <w:sz w:val="24"/>
          <w:szCs w:val="24"/>
          <w:lang w:eastAsia="pt-BR"/>
        </w:rPr>
        <w:t>ndo a Vara em que o Juiz de Direito for designado para substituir estiver composta pelo número de assessores previstos em Resolução, o assessor de circunscrição a ele vinculado ficar</w:t>
      </w:r>
      <w:r>
        <w:rPr>
          <w:rFonts w:ascii="Palatino Linotype" w:eastAsia="Times New Roman" w:hAnsi="Palatino Linotype"/>
          <w:sz w:val="24"/>
          <w:szCs w:val="24"/>
          <w:lang w:eastAsia="pt-BR"/>
        </w:rPr>
        <w:t>ia</w:t>
      </w:r>
      <w:r w:rsidRPr="003844B9">
        <w:rPr>
          <w:rFonts w:ascii="Palatino Linotype" w:eastAsia="Times New Roman" w:hAnsi="Palatino Linotype"/>
          <w:sz w:val="24"/>
          <w:szCs w:val="24"/>
          <w:lang w:eastAsia="pt-BR"/>
        </w:rPr>
        <w:t xml:space="preserve"> à disposição da Presidência, salvo motivo devidamente justificado, a critério da administração</w:t>
      </w:r>
      <w:r>
        <w:rPr>
          <w:rFonts w:ascii="Palatino Linotype" w:eastAsia="Times New Roman" w:hAnsi="Palatino Linotype"/>
          <w:sz w:val="24"/>
          <w:szCs w:val="24"/>
          <w:lang w:eastAsia="pt-BR"/>
        </w:rPr>
        <w:t>.</w:t>
      </w:r>
    </w:p>
    <w:p w:rsidR="003844B9" w:rsidRDefault="003844B9" w:rsidP="00DE153C">
      <w:pPr>
        <w:spacing w:before="100" w:beforeAutospacing="1" w:after="0" w:line="360" w:lineRule="auto"/>
        <w:ind w:firstLine="2127"/>
        <w:jc w:val="both"/>
        <w:rPr>
          <w:rFonts w:ascii="Palatino Linotype" w:eastAsia="Times New Roman" w:hAnsi="Palatino Linotype"/>
          <w:sz w:val="24"/>
          <w:szCs w:val="24"/>
          <w:lang w:eastAsia="pt-BR"/>
        </w:rPr>
      </w:pPr>
      <w:r>
        <w:rPr>
          <w:rFonts w:ascii="Palatino Linotype" w:eastAsia="Times New Roman" w:hAnsi="Palatino Linotype"/>
          <w:sz w:val="24"/>
          <w:szCs w:val="24"/>
          <w:lang w:eastAsia="pt-BR"/>
        </w:rPr>
        <w:t xml:space="preserve">Registre-se, por oportuno, que a ata dessa reunião </w:t>
      </w:r>
      <w:r w:rsidR="00B643CA">
        <w:rPr>
          <w:rFonts w:ascii="Palatino Linotype" w:eastAsia="Times New Roman" w:hAnsi="Palatino Linotype"/>
          <w:sz w:val="24"/>
          <w:szCs w:val="24"/>
          <w:lang w:eastAsia="pt-BR"/>
        </w:rPr>
        <w:t xml:space="preserve">– que tratou exclusivamente da proposta ofertada pelo TJPB – </w:t>
      </w:r>
      <w:r>
        <w:rPr>
          <w:rFonts w:ascii="Palatino Linotype" w:eastAsia="Times New Roman" w:hAnsi="Palatino Linotype"/>
          <w:sz w:val="24"/>
          <w:szCs w:val="24"/>
          <w:lang w:eastAsia="pt-BR"/>
        </w:rPr>
        <w:t>foi devidamente assinada pela presidente desta Associação mas, após seguir para a colheita da assinatura do presidente do TJPB, ainda não foi disponibilizada</w:t>
      </w:r>
      <w:r w:rsidR="00E05FA9">
        <w:rPr>
          <w:rFonts w:ascii="Palatino Linotype" w:eastAsia="Times New Roman" w:hAnsi="Palatino Linotype"/>
          <w:sz w:val="24"/>
          <w:szCs w:val="24"/>
          <w:lang w:eastAsia="pt-BR"/>
        </w:rPr>
        <w:t xml:space="preserve"> a esta Associação</w:t>
      </w:r>
      <w:r>
        <w:rPr>
          <w:rFonts w:ascii="Palatino Linotype" w:eastAsia="Times New Roman" w:hAnsi="Palatino Linotype"/>
          <w:sz w:val="24"/>
          <w:szCs w:val="24"/>
          <w:lang w:eastAsia="pt-BR"/>
        </w:rPr>
        <w:t xml:space="preserve">. </w:t>
      </w:r>
    </w:p>
    <w:p w:rsidR="003844B9" w:rsidRDefault="003844B9" w:rsidP="00DE153C">
      <w:pPr>
        <w:spacing w:before="100" w:beforeAutospacing="1" w:after="0" w:line="360" w:lineRule="auto"/>
        <w:ind w:firstLine="2127"/>
        <w:jc w:val="both"/>
        <w:rPr>
          <w:rFonts w:ascii="Palatino Linotype" w:eastAsia="Times New Roman" w:hAnsi="Palatino Linotype"/>
          <w:sz w:val="24"/>
          <w:szCs w:val="24"/>
          <w:lang w:eastAsia="pt-BR"/>
        </w:rPr>
      </w:pPr>
      <w:r>
        <w:rPr>
          <w:rFonts w:ascii="Palatino Linotype" w:eastAsia="Times New Roman" w:hAnsi="Palatino Linotype"/>
          <w:sz w:val="24"/>
          <w:szCs w:val="24"/>
          <w:lang w:eastAsia="pt-BR"/>
        </w:rPr>
        <w:t>Portanto e conquanto não tenha havido disponibilização da ata da qual constavam as propostas do Tribunal de Justiça, vem esta Entidade de classe</w:t>
      </w:r>
      <w:r w:rsidR="00B643CA">
        <w:rPr>
          <w:rFonts w:ascii="Palatino Linotype" w:eastAsia="Times New Roman" w:hAnsi="Palatino Linotype"/>
          <w:sz w:val="24"/>
          <w:szCs w:val="24"/>
          <w:lang w:eastAsia="pt-BR"/>
        </w:rPr>
        <w:t xml:space="preserve"> </w:t>
      </w:r>
      <w:r>
        <w:rPr>
          <w:rFonts w:ascii="Palatino Linotype" w:eastAsia="Times New Roman" w:hAnsi="Palatino Linotype"/>
          <w:sz w:val="24"/>
          <w:szCs w:val="24"/>
          <w:lang w:eastAsia="pt-BR"/>
        </w:rPr>
        <w:t xml:space="preserve"> rechaçá-las em sua materialidade, em especial as acima referidas. </w:t>
      </w:r>
    </w:p>
    <w:p w:rsidR="003844B9" w:rsidRDefault="003844B9" w:rsidP="00DE153C">
      <w:pPr>
        <w:spacing w:before="100" w:beforeAutospacing="1" w:after="0" w:line="360" w:lineRule="auto"/>
        <w:ind w:firstLine="2127"/>
        <w:jc w:val="both"/>
        <w:rPr>
          <w:rFonts w:ascii="Palatino Linotype" w:eastAsia="Times New Roman" w:hAnsi="Palatino Linotype"/>
          <w:sz w:val="24"/>
          <w:szCs w:val="24"/>
          <w:lang w:eastAsia="pt-BR"/>
        </w:rPr>
      </w:pPr>
      <w:r>
        <w:rPr>
          <w:rFonts w:ascii="Palatino Linotype" w:eastAsia="Times New Roman" w:hAnsi="Palatino Linotype"/>
          <w:sz w:val="24"/>
          <w:szCs w:val="24"/>
          <w:lang w:eastAsia="pt-BR"/>
        </w:rPr>
        <w:t xml:space="preserve">Com efeito, além de conter elementos diversos </w:t>
      </w:r>
      <w:r w:rsidR="00142E3D">
        <w:rPr>
          <w:rFonts w:ascii="Palatino Linotype" w:eastAsia="Times New Roman" w:hAnsi="Palatino Linotype"/>
          <w:sz w:val="24"/>
          <w:szCs w:val="24"/>
          <w:lang w:eastAsia="pt-BR"/>
        </w:rPr>
        <w:t xml:space="preserve">do pré-acordo efetuado na gestão anterior – que inclusive foi levado à Assembleia Extraordinária da AMPB –, exclui, sem justificativa alguma, da possibilidade de contarem com assessor, os juízes auxiliares da 3ª a 6ª  Circunscrições, que são justamente os que acumulam duas, três e às vezes até quatro unidades e </w:t>
      </w:r>
      <w:r w:rsidR="00142E3D">
        <w:rPr>
          <w:rFonts w:ascii="Palatino Linotype" w:eastAsia="Times New Roman" w:hAnsi="Palatino Linotype"/>
          <w:sz w:val="24"/>
          <w:szCs w:val="24"/>
          <w:lang w:eastAsia="pt-BR"/>
        </w:rPr>
        <w:lastRenderedPageBreak/>
        <w:t xml:space="preserve">comarcas do interior do Estado, onde se localiza a maior parte das 50 (cinquenta) varas e comarcas sem titular. </w:t>
      </w:r>
    </w:p>
    <w:p w:rsidR="00142E3D" w:rsidRDefault="00142E3D" w:rsidP="00DE153C">
      <w:pPr>
        <w:spacing w:before="100" w:beforeAutospacing="1" w:after="0" w:line="360" w:lineRule="auto"/>
        <w:ind w:firstLine="2127"/>
        <w:jc w:val="both"/>
        <w:rPr>
          <w:rFonts w:ascii="Palatino Linotype" w:eastAsia="Times New Roman" w:hAnsi="Palatino Linotype"/>
          <w:sz w:val="24"/>
          <w:szCs w:val="24"/>
          <w:lang w:eastAsia="pt-BR"/>
        </w:rPr>
      </w:pPr>
      <w:r>
        <w:rPr>
          <w:rFonts w:ascii="Palatino Linotype" w:eastAsia="Times New Roman" w:hAnsi="Palatino Linotype"/>
          <w:sz w:val="24"/>
          <w:szCs w:val="24"/>
          <w:lang w:eastAsia="pt-BR"/>
        </w:rPr>
        <w:t>Demais disso, não se afigura razoável a retirada do assessor do juiz auxiliar quando este for designado para uma unidade que já conta com essa força de trabalho. Em primeiro lugar, porque se trata</w:t>
      </w:r>
      <w:r w:rsidR="008B59D6">
        <w:rPr>
          <w:rFonts w:ascii="Palatino Linotype" w:eastAsia="Times New Roman" w:hAnsi="Palatino Linotype"/>
          <w:sz w:val="24"/>
          <w:szCs w:val="24"/>
          <w:lang w:eastAsia="pt-BR"/>
        </w:rPr>
        <w:t>rá</w:t>
      </w:r>
      <w:r>
        <w:rPr>
          <w:rFonts w:ascii="Palatino Linotype" w:eastAsia="Times New Roman" w:hAnsi="Palatino Linotype"/>
          <w:sz w:val="24"/>
          <w:szCs w:val="24"/>
          <w:lang w:eastAsia="pt-BR"/>
        </w:rPr>
        <w:t xml:space="preserve"> de pessoa da confiança do juiz auxiliar, já por ele treinado e preparado para </w:t>
      </w:r>
      <w:r w:rsidR="008B59D6">
        <w:rPr>
          <w:rFonts w:ascii="Palatino Linotype" w:eastAsia="Times New Roman" w:hAnsi="Palatino Linotype"/>
          <w:sz w:val="24"/>
          <w:szCs w:val="24"/>
          <w:lang w:eastAsia="pt-BR"/>
        </w:rPr>
        <w:t>reproduzir</w:t>
      </w:r>
      <w:r>
        <w:rPr>
          <w:rFonts w:ascii="Palatino Linotype" w:eastAsia="Times New Roman" w:hAnsi="Palatino Linotype"/>
          <w:sz w:val="24"/>
          <w:szCs w:val="24"/>
          <w:lang w:eastAsia="pt-BR"/>
        </w:rPr>
        <w:t xml:space="preserve"> </w:t>
      </w:r>
      <w:r w:rsidR="008B59D6">
        <w:rPr>
          <w:rFonts w:ascii="Palatino Linotype" w:eastAsia="Times New Roman" w:hAnsi="Palatino Linotype"/>
          <w:sz w:val="24"/>
          <w:szCs w:val="24"/>
          <w:lang w:eastAsia="pt-BR"/>
        </w:rPr>
        <w:t xml:space="preserve">seu entendimento acerca das matérias que costuma julgar. Demais disso, a força de trabalho extraordinária apenas beneficiará a unidade (ou unidades) em que o juiz auxiliar está substituindo ou auxiliando. </w:t>
      </w:r>
    </w:p>
    <w:p w:rsidR="008B59D6" w:rsidRDefault="008B59D6" w:rsidP="00DE153C">
      <w:pPr>
        <w:spacing w:before="100" w:beforeAutospacing="1" w:after="0" w:line="360" w:lineRule="auto"/>
        <w:ind w:firstLine="2127"/>
        <w:jc w:val="both"/>
        <w:rPr>
          <w:rFonts w:ascii="Palatino Linotype" w:eastAsia="Times New Roman" w:hAnsi="Palatino Linotype"/>
          <w:sz w:val="24"/>
          <w:szCs w:val="24"/>
          <w:lang w:eastAsia="pt-BR"/>
        </w:rPr>
      </w:pPr>
      <w:r>
        <w:rPr>
          <w:rFonts w:ascii="Palatino Linotype" w:eastAsia="Times New Roman" w:hAnsi="Palatino Linotype"/>
          <w:sz w:val="24"/>
          <w:szCs w:val="24"/>
          <w:lang w:eastAsia="pt-BR"/>
        </w:rPr>
        <w:t>Um dos argumentos da gestão para essa pretensão reside no fato de que o juiz titular da vara (que conta com um ou, no máximo, dois assessores) ficará em situação de desigualdade de produção com o juiz auxiliar que, além dos assessores da vara, contará com mais um, o seu. No entanto e, como já dito, o trabalho de um assessor a mais somente beneficiará a unidade com o acréscimo da força de trabalho. Ressalte-se ainda que não há concorrência entre juízes titulares (de 3ª e de 2ª entrância), tendo em vista que a produtividade do juiz auxiliar é avaliada individual e separadamente, sem comparação com outros juízes (Resolução TJPB n. 14/2015, art. 11).</w:t>
      </w:r>
    </w:p>
    <w:p w:rsidR="00DE153C" w:rsidRPr="0021099A" w:rsidRDefault="008B59D6" w:rsidP="00DE153C">
      <w:pPr>
        <w:spacing w:before="100" w:beforeAutospacing="1" w:after="0" w:line="360" w:lineRule="auto"/>
        <w:ind w:firstLine="2127"/>
        <w:jc w:val="both"/>
        <w:rPr>
          <w:rFonts w:ascii="Times New Roman" w:eastAsia="Times New Roman" w:hAnsi="Times New Roman"/>
          <w:sz w:val="24"/>
          <w:szCs w:val="24"/>
          <w:lang w:eastAsia="pt-BR"/>
        </w:rPr>
      </w:pPr>
      <w:r>
        <w:rPr>
          <w:rFonts w:ascii="Palatino Linotype" w:eastAsia="Times New Roman" w:hAnsi="Palatino Linotype"/>
          <w:sz w:val="24"/>
          <w:szCs w:val="24"/>
          <w:lang w:eastAsia="pt-BR"/>
        </w:rPr>
        <w:t xml:space="preserve">A manter-se o entendimento do Tribunal de Justiça, no sentido de condicionar a nomeação de assessores para os juízes auxiliares, mantido também estaria o </w:t>
      </w:r>
      <w:r w:rsidR="00DE153C" w:rsidRPr="0021099A">
        <w:rPr>
          <w:rFonts w:ascii="Palatino Linotype" w:eastAsia="Times New Roman" w:hAnsi="Palatino Linotype"/>
          <w:sz w:val="24"/>
          <w:szCs w:val="24"/>
          <w:lang w:eastAsia="pt-BR"/>
        </w:rPr>
        <w:t xml:space="preserve">desprestígio do 1º </w:t>
      </w:r>
      <w:r w:rsidR="00DE153C">
        <w:rPr>
          <w:rFonts w:ascii="Palatino Linotype" w:eastAsia="Times New Roman" w:hAnsi="Palatino Linotype"/>
          <w:sz w:val="24"/>
          <w:szCs w:val="24"/>
          <w:lang w:eastAsia="pt-BR"/>
        </w:rPr>
        <w:t>grau de j</w:t>
      </w:r>
      <w:r w:rsidR="00DE153C" w:rsidRPr="0021099A">
        <w:rPr>
          <w:rFonts w:ascii="Palatino Linotype" w:eastAsia="Times New Roman" w:hAnsi="Palatino Linotype"/>
          <w:sz w:val="24"/>
          <w:szCs w:val="24"/>
          <w:lang w:eastAsia="pt-BR"/>
        </w:rPr>
        <w:t>urisdição e</w:t>
      </w:r>
      <w:r>
        <w:rPr>
          <w:rFonts w:ascii="Palatino Linotype" w:eastAsia="Times New Roman" w:hAnsi="Palatino Linotype"/>
          <w:sz w:val="24"/>
          <w:szCs w:val="24"/>
          <w:lang w:eastAsia="pt-BR"/>
        </w:rPr>
        <w:t>,</w:t>
      </w:r>
      <w:r w:rsidR="00DE153C" w:rsidRPr="0021099A">
        <w:rPr>
          <w:rFonts w:ascii="Palatino Linotype" w:eastAsia="Times New Roman" w:hAnsi="Palatino Linotype"/>
          <w:sz w:val="24"/>
          <w:szCs w:val="24"/>
          <w:lang w:eastAsia="pt-BR"/>
        </w:rPr>
        <w:t xml:space="preserve"> em afronta à própria Lei de Organização </w:t>
      </w:r>
      <w:r w:rsidR="00534B99">
        <w:rPr>
          <w:rFonts w:ascii="Palatino Linotype" w:eastAsia="Times New Roman" w:hAnsi="Palatino Linotype"/>
          <w:sz w:val="24"/>
          <w:szCs w:val="24"/>
          <w:lang w:eastAsia="pt-BR"/>
        </w:rPr>
        <w:t xml:space="preserve">e Divisão </w:t>
      </w:r>
      <w:r w:rsidR="00DE153C" w:rsidRPr="0021099A">
        <w:rPr>
          <w:rFonts w:ascii="Palatino Linotype" w:eastAsia="Times New Roman" w:hAnsi="Palatino Linotype"/>
          <w:sz w:val="24"/>
          <w:szCs w:val="24"/>
          <w:lang w:eastAsia="pt-BR"/>
        </w:rPr>
        <w:t>Judiciária</w:t>
      </w:r>
      <w:r w:rsidR="00534B99">
        <w:rPr>
          <w:rFonts w:ascii="Palatino Linotype" w:eastAsia="Times New Roman" w:hAnsi="Palatino Linotype"/>
          <w:sz w:val="24"/>
          <w:szCs w:val="24"/>
          <w:lang w:eastAsia="pt-BR"/>
        </w:rPr>
        <w:t>s</w:t>
      </w:r>
      <w:r w:rsidR="00DE153C" w:rsidRPr="0021099A">
        <w:rPr>
          <w:rFonts w:ascii="Palatino Linotype" w:eastAsia="Times New Roman" w:hAnsi="Palatino Linotype"/>
          <w:sz w:val="24"/>
          <w:szCs w:val="24"/>
          <w:lang w:eastAsia="pt-BR"/>
        </w:rPr>
        <w:t xml:space="preserve"> do Estado da Paraíba (LOJE/PB – Lei Complementar Estadual – LCE – n.º 96/2010), o Tribunal de Justiça da Paraíba vem desconsiderando nesse cômputo as 50 (cinquenta) unidades de primeiro grau ocupadas pelos Juízes Auxiliares, entendendo que </w:t>
      </w:r>
      <w:r w:rsidR="00DE153C" w:rsidRPr="0021099A">
        <w:rPr>
          <w:rFonts w:ascii="Palatino Linotype" w:eastAsia="Times New Roman" w:hAnsi="Palatino Linotype"/>
          <w:sz w:val="24"/>
          <w:szCs w:val="24"/>
          <w:lang w:eastAsia="pt-BR"/>
        </w:rPr>
        <w:lastRenderedPageBreak/>
        <w:t>não se tratam de unidades judiciárias e que, por isso, não estariam albergadas na aludida previsão normativa.</w:t>
      </w:r>
    </w:p>
    <w:p w:rsidR="00DE153C" w:rsidRPr="0021099A" w:rsidRDefault="00534B99" w:rsidP="00DE153C">
      <w:pPr>
        <w:spacing w:before="100" w:beforeAutospacing="1" w:after="0" w:line="360" w:lineRule="auto"/>
        <w:ind w:firstLine="2127"/>
        <w:jc w:val="both"/>
        <w:rPr>
          <w:rFonts w:ascii="Times New Roman" w:eastAsia="Times New Roman" w:hAnsi="Times New Roman"/>
          <w:sz w:val="24"/>
          <w:szCs w:val="24"/>
          <w:lang w:eastAsia="pt-BR"/>
        </w:rPr>
      </w:pPr>
      <w:r>
        <w:rPr>
          <w:rFonts w:ascii="Palatino Linotype" w:eastAsia="Times New Roman" w:hAnsi="Palatino Linotype"/>
          <w:sz w:val="24"/>
          <w:szCs w:val="24"/>
          <w:lang w:eastAsia="pt-BR"/>
        </w:rPr>
        <w:t>P</w:t>
      </w:r>
      <w:r w:rsidR="00DE153C" w:rsidRPr="0021099A">
        <w:rPr>
          <w:rFonts w:ascii="Palatino Linotype" w:eastAsia="Times New Roman" w:hAnsi="Palatino Linotype"/>
          <w:sz w:val="24"/>
          <w:szCs w:val="24"/>
          <w:lang w:eastAsia="pt-BR"/>
        </w:rPr>
        <w:t>ela própria estrutura judiciária do Estado</w:t>
      </w:r>
      <w:r>
        <w:rPr>
          <w:rFonts w:ascii="Palatino Linotype" w:eastAsia="Times New Roman" w:hAnsi="Palatino Linotype"/>
          <w:sz w:val="24"/>
          <w:szCs w:val="24"/>
          <w:lang w:eastAsia="pt-BR"/>
        </w:rPr>
        <w:t>,</w:t>
      </w:r>
      <w:r w:rsidR="00DE153C" w:rsidRPr="0021099A">
        <w:rPr>
          <w:rFonts w:ascii="Palatino Linotype" w:eastAsia="Times New Roman" w:hAnsi="Palatino Linotype"/>
          <w:sz w:val="24"/>
          <w:szCs w:val="24"/>
          <w:lang w:eastAsia="pt-BR"/>
        </w:rPr>
        <w:t xml:space="preserve"> os Juizados Auxiliares são organizados legalmente como unidades judiciárias, tanto que o seu provimento se dá, como em qualquer outro caso, mediante concorrência em editais de remoção e promoção.</w:t>
      </w:r>
    </w:p>
    <w:p w:rsidR="00DE153C" w:rsidRPr="0021099A" w:rsidRDefault="00DE153C" w:rsidP="00DE153C">
      <w:pPr>
        <w:spacing w:before="100" w:beforeAutospacing="1" w:after="0" w:line="360" w:lineRule="auto"/>
        <w:ind w:firstLine="2127"/>
        <w:jc w:val="both"/>
        <w:rPr>
          <w:rFonts w:ascii="Times New Roman" w:eastAsia="Times New Roman" w:hAnsi="Times New Roman"/>
          <w:sz w:val="24"/>
          <w:szCs w:val="24"/>
          <w:lang w:eastAsia="pt-BR"/>
        </w:rPr>
      </w:pPr>
      <w:r w:rsidRPr="0021099A">
        <w:rPr>
          <w:rFonts w:ascii="Palatino Linotype" w:eastAsia="Times New Roman" w:hAnsi="Palatino Linotype"/>
          <w:sz w:val="24"/>
          <w:szCs w:val="24"/>
          <w:lang w:eastAsia="pt-BR"/>
        </w:rPr>
        <w:t xml:space="preserve">Não bastasse isso, a Lei de Organização Judiciária do Estado da Paraíba (LCE 96/2010) disciplina a competência dos Juizados Auxiliares dentro do Capítulo relacionado à Competência da Justiça do Primeiro Grau de Jurisdição (Capítulo XVIII), em subseção específica (Subseção XVI) e ao lado das demais unidades de mesma hierarquia, e, ao estabelecer os critérios gerais para fixação da competência (Capítulo XVIII, Seção II, Subseção I, art. 162), a LOJE/PB é expressa ao dizer que </w:t>
      </w:r>
      <w:r w:rsidRPr="0021099A">
        <w:rPr>
          <w:rFonts w:ascii="Palatino Linotype" w:eastAsia="Times New Roman" w:hAnsi="Palatino Linotype"/>
          <w:i/>
          <w:iCs/>
          <w:sz w:val="24"/>
          <w:szCs w:val="24"/>
          <w:lang w:eastAsia="pt-BR"/>
        </w:rPr>
        <w:t xml:space="preserve">“a fixação de competência será por distribuição equitativa entre os juízes, </w:t>
      </w:r>
      <w:r w:rsidRPr="0021099A">
        <w:rPr>
          <w:rFonts w:ascii="Palatino Linotype" w:eastAsia="Times New Roman" w:hAnsi="Palatino Linotype"/>
          <w:b/>
          <w:bCs/>
          <w:i/>
          <w:iCs/>
          <w:sz w:val="24"/>
          <w:szCs w:val="24"/>
          <w:u w:val="single"/>
          <w:lang w:eastAsia="pt-BR"/>
        </w:rPr>
        <w:t>respeitada a especialização de cada vara</w:t>
      </w:r>
      <w:r w:rsidRPr="0021099A">
        <w:rPr>
          <w:rFonts w:ascii="Palatino Linotype" w:eastAsia="Times New Roman" w:hAnsi="Palatino Linotype"/>
          <w:i/>
          <w:iCs/>
          <w:sz w:val="24"/>
          <w:szCs w:val="24"/>
          <w:lang w:eastAsia="pt-BR"/>
        </w:rPr>
        <w:t xml:space="preserve">, </w:t>
      </w:r>
      <w:r w:rsidRPr="0021099A">
        <w:rPr>
          <w:rFonts w:ascii="Palatino Linotype" w:eastAsia="Times New Roman" w:hAnsi="Palatino Linotype"/>
          <w:b/>
          <w:bCs/>
          <w:i/>
          <w:iCs/>
          <w:sz w:val="24"/>
          <w:szCs w:val="24"/>
          <w:u w:val="single"/>
          <w:lang w:eastAsia="pt-BR"/>
        </w:rPr>
        <w:t>a ser definida de acordo com as regras gerais constantes das subseções seguintes</w:t>
      </w:r>
      <w:r w:rsidRPr="0021099A">
        <w:rPr>
          <w:rFonts w:ascii="Palatino Linotype" w:eastAsia="Times New Roman" w:hAnsi="Palatino Linotype"/>
          <w:i/>
          <w:iCs/>
          <w:sz w:val="24"/>
          <w:szCs w:val="24"/>
          <w:lang w:eastAsia="pt-BR"/>
        </w:rPr>
        <w:t>.</w:t>
      </w:r>
    </w:p>
    <w:p w:rsidR="00DE153C" w:rsidRPr="0021099A" w:rsidRDefault="00DE153C" w:rsidP="00DE153C">
      <w:pPr>
        <w:spacing w:before="100" w:beforeAutospacing="1" w:after="0" w:line="360" w:lineRule="auto"/>
        <w:ind w:firstLine="2127"/>
        <w:jc w:val="both"/>
        <w:rPr>
          <w:rFonts w:ascii="Times New Roman" w:eastAsia="Times New Roman" w:hAnsi="Times New Roman"/>
          <w:sz w:val="24"/>
          <w:szCs w:val="24"/>
          <w:lang w:eastAsia="pt-BR"/>
        </w:rPr>
      </w:pPr>
      <w:r w:rsidRPr="0021099A">
        <w:rPr>
          <w:rFonts w:ascii="Palatino Linotype" w:eastAsia="Times New Roman" w:hAnsi="Palatino Linotype"/>
          <w:sz w:val="24"/>
          <w:szCs w:val="24"/>
          <w:lang w:eastAsia="pt-BR"/>
        </w:rPr>
        <w:t xml:space="preserve">Por sua vez, o </w:t>
      </w:r>
      <w:proofErr w:type="spellStart"/>
      <w:r w:rsidRPr="0021099A">
        <w:rPr>
          <w:rFonts w:ascii="Palatino Linotype" w:eastAsia="Times New Roman" w:hAnsi="Palatino Linotype"/>
          <w:sz w:val="24"/>
          <w:szCs w:val="24"/>
          <w:lang w:eastAsia="pt-BR"/>
        </w:rPr>
        <w:t>arts</w:t>
      </w:r>
      <w:proofErr w:type="spellEnd"/>
      <w:r w:rsidRPr="0021099A">
        <w:rPr>
          <w:rFonts w:ascii="Palatino Linotype" w:eastAsia="Times New Roman" w:hAnsi="Palatino Linotype"/>
          <w:sz w:val="24"/>
          <w:szCs w:val="24"/>
          <w:lang w:eastAsia="pt-BR"/>
        </w:rPr>
        <w:t xml:space="preserve">. 181 e 182 da LOJE/PB informam que compete ao Juiz de direito titular de Juizado Auxiliar (seja ele Misto ou Especializado) substituir </w:t>
      </w:r>
      <w:r w:rsidRPr="0021099A">
        <w:rPr>
          <w:rFonts w:ascii="Palatino Linotype" w:eastAsia="Times New Roman" w:hAnsi="Palatino Linotype"/>
          <w:b/>
          <w:bCs/>
          <w:sz w:val="24"/>
          <w:szCs w:val="24"/>
          <w:u w:val="single"/>
          <w:lang w:eastAsia="pt-BR"/>
        </w:rPr>
        <w:t>e auxiliar</w:t>
      </w:r>
      <w:r w:rsidRPr="0021099A">
        <w:rPr>
          <w:rFonts w:ascii="Palatino Linotype" w:eastAsia="Times New Roman" w:hAnsi="Palatino Linotype"/>
          <w:sz w:val="24"/>
          <w:szCs w:val="24"/>
          <w:lang w:eastAsia="pt-BR"/>
        </w:rPr>
        <w:t xml:space="preserve"> as unidades judiciárias integrantes da respectiva circunscrição judiciária, ao passo em que o seu art. 183 dispõe que </w:t>
      </w:r>
      <w:r w:rsidRPr="0021099A">
        <w:rPr>
          <w:rFonts w:ascii="Palatino Linotype" w:eastAsia="Times New Roman" w:hAnsi="Palatino Linotype"/>
          <w:i/>
          <w:iCs/>
          <w:sz w:val="24"/>
          <w:szCs w:val="24"/>
          <w:lang w:eastAsia="pt-BR"/>
        </w:rPr>
        <w:t xml:space="preserve">“considera-se auxílio, para fins do disposto nos </w:t>
      </w:r>
      <w:proofErr w:type="spellStart"/>
      <w:r w:rsidRPr="0021099A">
        <w:rPr>
          <w:rFonts w:ascii="Palatino Linotype" w:eastAsia="Times New Roman" w:hAnsi="Palatino Linotype"/>
          <w:i/>
          <w:iCs/>
          <w:sz w:val="24"/>
          <w:szCs w:val="24"/>
          <w:lang w:eastAsia="pt-BR"/>
        </w:rPr>
        <w:t>arts</w:t>
      </w:r>
      <w:proofErr w:type="spellEnd"/>
      <w:r w:rsidRPr="0021099A">
        <w:rPr>
          <w:rFonts w:ascii="Palatino Linotype" w:eastAsia="Times New Roman" w:hAnsi="Palatino Linotype"/>
          <w:i/>
          <w:iCs/>
          <w:sz w:val="24"/>
          <w:szCs w:val="24"/>
          <w:lang w:eastAsia="pt-BR"/>
        </w:rPr>
        <w:t>. 180 e 181 desta Lei, o exercício jurisdicional conjunto do juiz titular de juizado auxiliar e do juiz titular da unidade judiciária auxiliada, na forma prevista no art. 287 desta Lei”</w:t>
      </w:r>
      <w:r w:rsidRPr="0021099A">
        <w:rPr>
          <w:rFonts w:ascii="Palatino Linotype" w:eastAsia="Times New Roman" w:hAnsi="Palatino Linotype"/>
          <w:sz w:val="24"/>
          <w:szCs w:val="24"/>
          <w:lang w:eastAsia="pt-BR"/>
        </w:rPr>
        <w:t>.</w:t>
      </w:r>
    </w:p>
    <w:p w:rsidR="00DE153C" w:rsidRPr="0021099A" w:rsidRDefault="00DE153C" w:rsidP="00DE153C">
      <w:pPr>
        <w:spacing w:before="100" w:beforeAutospacing="1" w:after="0" w:line="360" w:lineRule="auto"/>
        <w:ind w:firstLine="2127"/>
        <w:jc w:val="both"/>
        <w:rPr>
          <w:rFonts w:ascii="Times New Roman" w:eastAsia="Times New Roman" w:hAnsi="Times New Roman"/>
          <w:sz w:val="24"/>
          <w:szCs w:val="24"/>
          <w:lang w:eastAsia="pt-BR"/>
        </w:rPr>
      </w:pPr>
      <w:r w:rsidRPr="0021099A">
        <w:rPr>
          <w:rFonts w:ascii="Palatino Linotype" w:eastAsia="Times New Roman" w:hAnsi="Palatino Linotype"/>
          <w:sz w:val="24"/>
          <w:szCs w:val="24"/>
          <w:lang w:eastAsia="pt-BR"/>
        </w:rPr>
        <w:t xml:space="preserve">Assim, e em que pese a possibilidade legal de desempenho de suas funções em caráter de substituição, via de regra a atuação das unidades judiciárias ocupadas por juízes auxiliares é complementar e cumulativa à dos </w:t>
      </w:r>
      <w:r w:rsidRPr="0021099A">
        <w:rPr>
          <w:rFonts w:ascii="Palatino Linotype" w:eastAsia="Times New Roman" w:hAnsi="Palatino Linotype"/>
          <w:sz w:val="24"/>
          <w:szCs w:val="24"/>
          <w:lang w:eastAsia="pt-BR"/>
        </w:rPr>
        <w:lastRenderedPageBreak/>
        <w:t xml:space="preserve">respectivos titulares, o que impõe que lhes seja conferida idêntica estrutura de trabalho para o regular exercício de suas funções. </w:t>
      </w:r>
    </w:p>
    <w:p w:rsidR="00DE153C" w:rsidRDefault="00DE153C" w:rsidP="00DE153C">
      <w:pPr>
        <w:spacing w:before="100" w:beforeAutospacing="1" w:after="0" w:line="360" w:lineRule="auto"/>
        <w:ind w:firstLine="2127"/>
        <w:jc w:val="both"/>
        <w:rPr>
          <w:rFonts w:ascii="Palatino Linotype" w:eastAsia="Times New Roman" w:hAnsi="Palatino Linotype"/>
          <w:sz w:val="24"/>
          <w:szCs w:val="24"/>
          <w:lang w:eastAsia="pt-BR"/>
        </w:rPr>
      </w:pPr>
      <w:r w:rsidRPr="0021099A">
        <w:rPr>
          <w:rFonts w:ascii="Palatino Linotype" w:eastAsia="Times New Roman" w:hAnsi="Palatino Linotype"/>
          <w:sz w:val="24"/>
          <w:szCs w:val="24"/>
          <w:lang w:eastAsia="pt-BR"/>
        </w:rPr>
        <w:t>Entretanto, e sob o raso argumento de que as unidades para as quais os juízes auxiliares são designados já contam com cargo de assessor, e esquecendo que frequentemente esses mesmos assessores aproveitam as férias e afastamentos dos titulares para também gozarem desse direito constitucional, o Tribunal de Justiça da Paraíba vem tratando as unidades judiciárias ocupadas pelos</w:t>
      </w:r>
      <w:r w:rsidR="00B643CA">
        <w:rPr>
          <w:rFonts w:ascii="Palatino Linotype" w:eastAsia="Times New Roman" w:hAnsi="Palatino Linotype"/>
          <w:sz w:val="24"/>
          <w:szCs w:val="24"/>
          <w:lang w:eastAsia="pt-BR"/>
        </w:rPr>
        <w:t xml:space="preserve"> Juízes Auxiliares de maneira di</w:t>
      </w:r>
      <w:r w:rsidR="00B643CA" w:rsidRPr="0021099A">
        <w:rPr>
          <w:rFonts w:ascii="Palatino Linotype" w:eastAsia="Times New Roman" w:hAnsi="Palatino Linotype"/>
          <w:sz w:val="24"/>
          <w:szCs w:val="24"/>
          <w:lang w:eastAsia="pt-BR"/>
        </w:rPr>
        <w:t>spare</w:t>
      </w:r>
      <w:r w:rsidRPr="0021099A">
        <w:rPr>
          <w:rFonts w:ascii="Palatino Linotype" w:eastAsia="Times New Roman" w:hAnsi="Palatino Linotype"/>
          <w:sz w:val="24"/>
          <w:szCs w:val="24"/>
          <w:lang w:eastAsia="pt-BR"/>
        </w:rPr>
        <w:t xml:space="preserve"> e inferiorizada quando em comparação com as demais, o que deve ser corrigido por esse E. Conselho.</w:t>
      </w:r>
    </w:p>
    <w:p w:rsidR="00534B99" w:rsidRDefault="00534B99" w:rsidP="00DE153C">
      <w:pPr>
        <w:spacing w:before="100" w:beforeAutospacing="1" w:after="0" w:line="360" w:lineRule="auto"/>
        <w:ind w:firstLine="2127"/>
        <w:jc w:val="both"/>
        <w:rPr>
          <w:rFonts w:ascii="Palatino Linotype" w:eastAsia="Times New Roman" w:hAnsi="Palatino Linotype"/>
          <w:sz w:val="24"/>
          <w:szCs w:val="24"/>
          <w:lang w:eastAsia="pt-BR"/>
        </w:rPr>
      </w:pPr>
      <w:r>
        <w:rPr>
          <w:rFonts w:ascii="Palatino Linotype" w:eastAsia="Times New Roman" w:hAnsi="Palatino Linotype"/>
          <w:sz w:val="24"/>
          <w:szCs w:val="24"/>
          <w:lang w:eastAsia="pt-BR"/>
        </w:rPr>
        <w:t>Este Conselho Nacional de Justiça já se debruçou sobre o tema, tendo determinado que</w:t>
      </w:r>
      <w:r w:rsidR="00D04B4A">
        <w:rPr>
          <w:rFonts w:ascii="Palatino Linotype" w:eastAsia="Times New Roman" w:hAnsi="Palatino Linotype"/>
          <w:sz w:val="24"/>
          <w:szCs w:val="24"/>
          <w:lang w:eastAsia="pt-BR"/>
        </w:rPr>
        <w:t xml:space="preserve"> diversos tribunais do país assegurem assessores a todos os magistrados, independentemente  de sua classe e condição funcional.</w:t>
      </w:r>
      <w:r w:rsidR="00085DD5">
        <w:rPr>
          <w:rFonts w:ascii="Palatino Linotype" w:eastAsia="Times New Roman" w:hAnsi="Palatino Linotype"/>
          <w:sz w:val="24"/>
          <w:szCs w:val="24"/>
          <w:lang w:eastAsia="pt-BR"/>
        </w:rPr>
        <w:t xml:space="preserve"> É o que se depreende das decisões proferidas nos seguintes Pedido</w:t>
      </w:r>
      <w:r w:rsidR="00E05FA9">
        <w:rPr>
          <w:rFonts w:ascii="Palatino Linotype" w:eastAsia="Times New Roman" w:hAnsi="Palatino Linotype"/>
          <w:sz w:val="24"/>
          <w:szCs w:val="24"/>
          <w:lang w:eastAsia="pt-BR"/>
        </w:rPr>
        <w:t>s</w:t>
      </w:r>
      <w:r w:rsidR="00085DD5">
        <w:rPr>
          <w:rFonts w:ascii="Palatino Linotype" w:eastAsia="Times New Roman" w:hAnsi="Palatino Linotype"/>
          <w:sz w:val="24"/>
          <w:szCs w:val="24"/>
          <w:lang w:eastAsia="pt-BR"/>
        </w:rPr>
        <w:t xml:space="preserve"> de Providências n. 0004999-64.2016.2.00.0000; </w:t>
      </w:r>
      <w:r w:rsidR="00E05FA9">
        <w:rPr>
          <w:rFonts w:ascii="Palatino Linotype" w:eastAsia="Times New Roman" w:hAnsi="Palatino Linotype"/>
          <w:sz w:val="24"/>
          <w:szCs w:val="24"/>
          <w:lang w:eastAsia="pt-BR"/>
        </w:rPr>
        <w:t xml:space="preserve">0007439-62.208.2.00.0000; </w:t>
      </w:r>
    </w:p>
    <w:p w:rsidR="00D04B4A" w:rsidRPr="0021099A" w:rsidRDefault="00D04B4A" w:rsidP="00DE153C">
      <w:pPr>
        <w:spacing w:before="100" w:beforeAutospacing="1" w:after="0" w:line="360" w:lineRule="auto"/>
        <w:ind w:firstLine="2127"/>
        <w:jc w:val="both"/>
        <w:rPr>
          <w:rFonts w:ascii="Times New Roman" w:eastAsia="Times New Roman" w:hAnsi="Times New Roman"/>
          <w:sz w:val="24"/>
          <w:szCs w:val="24"/>
          <w:lang w:eastAsia="pt-BR"/>
        </w:rPr>
      </w:pPr>
      <w:r>
        <w:rPr>
          <w:rFonts w:ascii="Palatino Linotype" w:eastAsia="Times New Roman" w:hAnsi="Palatino Linotype"/>
          <w:sz w:val="24"/>
          <w:szCs w:val="24"/>
          <w:lang w:eastAsia="pt-BR"/>
        </w:rPr>
        <w:t xml:space="preserve">Por tais motivos é que </w:t>
      </w:r>
      <w:r w:rsidR="00377A6F">
        <w:rPr>
          <w:rFonts w:ascii="Palatino Linotype" w:eastAsia="Times New Roman" w:hAnsi="Palatino Linotype"/>
          <w:sz w:val="24"/>
          <w:szCs w:val="24"/>
          <w:lang w:eastAsia="pt-BR"/>
        </w:rPr>
        <w:t xml:space="preserve">deve o </w:t>
      </w:r>
      <w:r>
        <w:rPr>
          <w:rFonts w:ascii="Palatino Linotype" w:eastAsia="Times New Roman" w:hAnsi="Palatino Linotype"/>
          <w:sz w:val="24"/>
          <w:szCs w:val="24"/>
          <w:lang w:eastAsia="pt-BR"/>
        </w:rPr>
        <w:t>Tribunal de Justiça da Paraíba</w:t>
      </w:r>
      <w:r w:rsidR="00377A6F">
        <w:rPr>
          <w:rFonts w:ascii="Palatino Linotype" w:eastAsia="Times New Roman" w:hAnsi="Palatino Linotype"/>
          <w:sz w:val="24"/>
          <w:szCs w:val="24"/>
          <w:lang w:eastAsia="pt-BR"/>
        </w:rPr>
        <w:t xml:space="preserve"> ser compelido a </w:t>
      </w:r>
      <w:r>
        <w:rPr>
          <w:rFonts w:ascii="Palatino Linotype" w:eastAsia="Times New Roman" w:hAnsi="Palatino Linotype"/>
          <w:sz w:val="24"/>
          <w:szCs w:val="24"/>
          <w:lang w:eastAsia="pt-BR"/>
        </w:rPr>
        <w:t xml:space="preserve">designar, para as unidades que não possuem e para cada um dos juízes auxiliares, o reforço da força de trabalho de um assessor. </w:t>
      </w:r>
    </w:p>
    <w:p w:rsidR="00DE153C" w:rsidRPr="00002C7A" w:rsidRDefault="00DE153C" w:rsidP="00DE153C">
      <w:pPr>
        <w:spacing w:after="0" w:line="360" w:lineRule="auto"/>
        <w:ind w:firstLine="2127"/>
        <w:jc w:val="both"/>
        <w:rPr>
          <w:rFonts w:ascii="Palatino Linotype" w:hAnsi="Palatino Linotype" w:cs="Arial"/>
          <w:b/>
          <w:sz w:val="24"/>
          <w:szCs w:val="24"/>
        </w:rPr>
      </w:pPr>
    </w:p>
    <w:p w:rsidR="00DE153C" w:rsidRPr="000769E7" w:rsidRDefault="00DE153C" w:rsidP="00DE153C">
      <w:pPr>
        <w:spacing w:after="0" w:line="360" w:lineRule="auto"/>
        <w:ind w:firstLine="2127"/>
        <w:jc w:val="both"/>
        <w:rPr>
          <w:rFonts w:ascii="Palatino Linotype" w:hAnsi="Palatino Linotype" w:cs="Arial"/>
          <w:sz w:val="24"/>
          <w:szCs w:val="24"/>
        </w:rPr>
      </w:pPr>
      <w:r>
        <w:rPr>
          <w:rFonts w:ascii="Palatino Linotype" w:hAnsi="Palatino Linotype" w:cs="Arial"/>
          <w:sz w:val="24"/>
          <w:szCs w:val="24"/>
        </w:rPr>
        <w:t>Diante desse cenário e da certeza de que está cada vez mais distante a priorização do 1º grau e a implementação da supramencionada Resolução, em todos os seus precisos termos, no Estado da Paraíba, em face resistência do 2º grau em modificar o quadro de largos benefícios, recursos e força de trabalho aplicados em seu favor, REQUER  a Vossa Excelência seja proferida decisão neste feito, conforme assentado no termo de audiência constante dos autos, determinando ao Tribunal de Justiça da Paraíba:</w:t>
      </w:r>
    </w:p>
    <w:p w:rsidR="00DE153C" w:rsidRPr="000769E7" w:rsidRDefault="00DE153C" w:rsidP="00DE153C">
      <w:pPr>
        <w:spacing w:after="0" w:line="360" w:lineRule="auto"/>
        <w:ind w:firstLine="2127"/>
        <w:jc w:val="both"/>
        <w:rPr>
          <w:rFonts w:ascii="Palatino Linotype" w:hAnsi="Palatino Linotype" w:cs="Arial"/>
          <w:sz w:val="24"/>
          <w:szCs w:val="24"/>
        </w:rPr>
      </w:pPr>
    </w:p>
    <w:p w:rsidR="00DE153C" w:rsidRPr="00985B29" w:rsidRDefault="00DE153C" w:rsidP="00DE153C">
      <w:pPr>
        <w:pStyle w:val="PargrafodaLista"/>
        <w:numPr>
          <w:ilvl w:val="0"/>
          <w:numId w:val="2"/>
        </w:numPr>
        <w:spacing w:after="0" w:line="360" w:lineRule="auto"/>
        <w:ind w:right="-285"/>
        <w:jc w:val="both"/>
        <w:rPr>
          <w:rFonts w:ascii="Palatino Linotype" w:hAnsi="Palatino Linotype" w:cs="Arial"/>
          <w:b/>
          <w:sz w:val="24"/>
          <w:szCs w:val="24"/>
        </w:rPr>
      </w:pPr>
      <w:r>
        <w:rPr>
          <w:rFonts w:ascii="Palatino Linotype" w:hAnsi="Palatino Linotype" w:cs="Arial"/>
          <w:b/>
          <w:sz w:val="24"/>
          <w:szCs w:val="24"/>
        </w:rPr>
        <w:t>Proceda à movimentação, do 2º para o 1º grau, de</w:t>
      </w:r>
      <w:r w:rsidR="00377A6F">
        <w:rPr>
          <w:rFonts w:ascii="Palatino Linotype" w:hAnsi="Palatino Linotype" w:cs="Arial"/>
          <w:b/>
          <w:sz w:val="24"/>
          <w:szCs w:val="24"/>
        </w:rPr>
        <w:t xml:space="preserve"> 18</w:t>
      </w:r>
      <w:r>
        <w:rPr>
          <w:rFonts w:ascii="Palatino Linotype" w:hAnsi="Palatino Linotype" w:cs="Arial"/>
          <w:b/>
          <w:sz w:val="24"/>
          <w:szCs w:val="24"/>
        </w:rPr>
        <w:t xml:space="preserve"> servidores, conforme cálculos deste Conselho Nacional de Justiça;</w:t>
      </w:r>
    </w:p>
    <w:p w:rsidR="00DE153C" w:rsidRPr="00985B29" w:rsidRDefault="00DE153C" w:rsidP="00DE153C">
      <w:pPr>
        <w:numPr>
          <w:ilvl w:val="0"/>
          <w:numId w:val="2"/>
        </w:numPr>
        <w:spacing w:after="0" w:line="360" w:lineRule="auto"/>
        <w:ind w:right="-285"/>
        <w:jc w:val="both"/>
        <w:rPr>
          <w:rFonts w:ascii="Palatino Linotype" w:hAnsi="Palatino Linotype" w:cs="Arial"/>
          <w:sz w:val="24"/>
          <w:szCs w:val="24"/>
        </w:rPr>
      </w:pPr>
      <w:r w:rsidRPr="000769E7">
        <w:rPr>
          <w:rFonts w:ascii="Palatino Linotype" w:hAnsi="Palatino Linotype" w:cs="Arial"/>
          <w:b/>
          <w:sz w:val="24"/>
          <w:szCs w:val="24"/>
        </w:rPr>
        <w:t xml:space="preserve">Envie projeto de lei à Assembleia Legislativa do Estado da Paraíba, com a finalidade de unificar </w:t>
      </w:r>
      <w:r w:rsidR="00377A6F">
        <w:rPr>
          <w:rFonts w:ascii="Palatino Linotype" w:hAnsi="Palatino Linotype" w:cs="Arial"/>
          <w:b/>
          <w:sz w:val="24"/>
          <w:szCs w:val="24"/>
        </w:rPr>
        <w:t>a remuneração d</w:t>
      </w:r>
      <w:r w:rsidRPr="000769E7">
        <w:rPr>
          <w:rFonts w:ascii="Palatino Linotype" w:hAnsi="Palatino Linotype" w:cs="Arial"/>
          <w:b/>
          <w:sz w:val="24"/>
          <w:szCs w:val="24"/>
        </w:rPr>
        <w:t xml:space="preserve">os cargos comissionados e funções de confiança dos 1º e 2º graus de jurisdição, em especial extinguindo todos os cargos de assessor de 1º e 2º graus e criando o novo cargo de </w:t>
      </w:r>
      <w:r w:rsidRPr="000769E7">
        <w:rPr>
          <w:rFonts w:ascii="Palatino Linotype" w:hAnsi="Palatino Linotype" w:cs="Arial"/>
          <w:b/>
          <w:sz w:val="24"/>
          <w:szCs w:val="24"/>
          <w:u w:val="single"/>
        </w:rPr>
        <w:t>assessor de magistrado</w:t>
      </w:r>
      <w:r w:rsidRPr="000769E7">
        <w:rPr>
          <w:rFonts w:ascii="Palatino Linotype" w:hAnsi="Palatino Linotype" w:cs="Arial"/>
          <w:b/>
          <w:sz w:val="24"/>
          <w:szCs w:val="24"/>
        </w:rPr>
        <w:t>, com atribuições e remunerações idênticas, independentemente do grau de jurisdição</w:t>
      </w:r>
      <w:r w:rsidR="00377A6F">
        <w:rPr>
          <w:rFonts w:ascii="Palatino Linotype" w:hAnsi="Palatino Linotype" w:cs="Arial"/>
          <w:b/>
          <w:sz w:val="24"/>
          <w:szCs w:val="24"/>
        </w:rPr>
        <w:t xml:space="preserve"> </w:t>
      </w:r>
      <w:r w:rsidR="00377A6F" w:rsidRPr="00377A6F">
        <w:rPr>
          <w:rFonts w:ascii="Palatino Linotype" w:hAnsi="Palatino Linotype" w:cs="Arial"/>
          <w:b/>
          <w:sz w:val="24"/>
          <w:szCs w:val="24"/>
          <w:u w:val="single"/>
        </w:rPr>
        <w:t>OU</w:t>
      </w:r>
      <w:r w:rsidR="00377A6F">
        <w:rPr>
          <w:rFonts w:ascii="Palatino Linotype" w:hAnsi="Palatino Linotype" w:cs="Arial"/>
          <w:b/>
          <w:sz w:val="24"/>
          <w:szCs w:val="24"/>
        </w:rPr>
        <w:t xml:space="preserve"> </w:t>
      </w:r>
      <w:r w:rsidR="00377A6F" w:rsidRPr="00377A6F">
        <w:rPr>
          <w:rFonts w:ascii="Palatino Linotype" w:hAnsi="Palatino Linotype" w:cs="Arial"/>
          <w:b/>
          <w:sz w:val="24"/>
          <w:szCs w:val="24"/>
          <w:u w:val="single"/>
        </w:rPr>
        <w:t>apresente PLANO DE AÇÃO para equiparação gradativa e futura das remunerações dos assessores de 1º e 2º graus</w:t>
      </w:r>
      <w:r w:rsidRPr="000769E7">
        <w:rPr>
          <w:rFonts w:ascii="Palatino Linotype" w:hAnsi="Palatino Linotype" w:cs="Arial"/>
          <w:b/>
          <w:sz w:val="24"/>
          <w:szCs w:val="24"/>
        </w:rPr>
        <w:t>;</w:t>
      </w:r>
    </w:p>
    <w:p w:rsidR="00DE153C" w:rsidRPr="000769E7" w:rsidRDefault="00DE153C" w:rsidP="00DE153C">
      <w:pPr>
        <w:numPr>
          <w:ilvl w:val="0"/>
          <w:numId w:val="2"/>
        </w:numPr>
        <w:spacing w:after="0" w:line="360" w:lineRule="auto"/>
        <w:ind w:right="-285"/>
        <w:jc w:val="both"/>
        <w:rPr>
          <w:rFonts w:ascii="Palatino Linotype" w:hAnsi="Palatino Linotype" w:cs="Arial"/>
          <w:sz w:val="24"/>
          <w:szCs w:val="24"/>
        </w:rPr>
      </w:pPr>
      <w:r>
        <w:rPr>
          <w:rFonts w:ascii="Palatino Linotype" w:hAnsi="Palatino Linotype" w:cs="Arial"/>
          <w:b/>
          <w:sz w:val="24"/>
          <w:szCs w:val="24"/>
        </w:rPr>
        <w:t>Aloque, no 1º grau de jurisdição 89% (oitenta e nove por cento) dos valores pagos a cargos comissionados;</w:t>
      </w:r>
    </w:p>
    <w:p w:rsidR="00DE153C" w:rsidRDefault="00DE153C" w:rsidP="00DE153C">
      <w:pPr>
        <w:numPr>
          <w:ilvl w:val="0"/>
          <w:numId w:val="2"/>
        </w:numPr>
        <w:spacing w:after="0" w:line="360" w:lineRule="auto"/>
        <w:ind w:right="-285"/>
        <w:jc w:val="both"/>
        <w:rPr>
          <w:rFonts w:ascii="Palatino Linotype" w:hAnsi="Palatino Linotype" w:cs="Arial"/>
          <w:sz w:val="24"/>
          <w:szCs w:val="24"/>
        </w:rPr>
      </w:pPr>
      <w:r w:rsidRPr="000769E7">
        <w:rPr>
          <w:rFonts w:ascii="Palatino Linotype" w:hAnsi="Palatino Linotype" w:cs="Arial"/>
          <w:b/>
          <w:sz w:val="24"/>
          <w:szCs w:val="24"/>
        </w:rPr>
        <w:t xml:space="preserve">Nos termos do § 2º do art. 22 da Resolução 219/2016, designe, no mínimo, </w:t>
      </w:r>
      <w:r w:rsidRPr="000769E7">
        <w:rPr>
          <w:rFonts w:ascii="Palatino Linotype" w:hAnsi="Palatino Linotype" w:cs="Arial"/>
          <w:b/>
          <w:sz w:val="24"/>
          <w:szCs w:val="24"/>
          <w:u w:val="single"/>
        </w:rPr>
        <w:t>um cargo em comissão de assessor</w:t>
      </w:r>
      <w:r w:rsidRPr="000769E7">
        <w:rPr>
          <w:rFonts w:ascii="Palatino Linotype" w:hAnsi="Palatino Linotype" w:cs="Arial"/>
          <w:b/>
          <w:sz w:val="24"/>
          <w:szCs w:val="24"/>
        </w:rPr>
        <w:t xml:space="preserve"> para cada</w:t>
      </w:r>
      <w:r w:rsidR="00377A6F">
        <w:rPr>
          <w:rFonts w:ascii="Palatino Linotype" w:hAnsi="Palatino Linotype" w:cs="Arial"/>
          <w:b/>
          <w:sz w:val="24"/>
          <w:szCs w:val="24"/>
        </w:rPr>
        <w:t xml:space="preserve"> unidade, incluídos aí os juízes auxiliares,</w:t>
      </w:r>
      <w:r w:rsidRPr="000769E7">
        <w:rPr>
          <w:rFonts w:ascii="Palatino Linotype" w:hAnsi="Palatino Linotype" w:cs="Arial"/>
          <w:b/>
          <w:sz w:val="24"/>
          <w:szCs w:val="24"/>
        </w:rPr>
        <w:t xml:space="preserve"> de 1º grau que não conte</w:t>
      </w:r>
      <w:r w:rsidR="00377A6F">
        <w:rPr>
          <w:rFonts w:ascii="Palatino Linotype" w:hAnsi="Palatino Linotype" w:cs="Arial"/>
          <w:b/>
          <w:sz w:val="24"/>
          <w:szCs w:val="24"/>
        </w:rPr>
        <w:t>m</w:t>
      </w:r>
      <w:r w:rsidRPr="000769E7">
        <w:rPr>
          <w:rFonts w:ascii="Palatino Linotype" w:hAnsi="Palatino Linotype" w:cs="Arial"/>
          <w:b/>
          <w:sz w:val="24"/>
          <w:szCs w:val="24"/>
        </w:rPr>
        <w:t xml:space="preserve"> com essa força de trabalho;</w:t>
      </w:r>
    </w:p>
    <w:p w:rsidR="00DE153C" w:rsidRPr="000769E7" w:rsidRDefault="00DE153C" w:rsidP="00DE153C">
      <w:pPr>
        <w:spacing w:after="0" w:line="360" w:lineRule="auto"/>
        <w:ind w:left="720" w:right="-285"/>
        <w:jc w:val="both"/>
        <w:rPr>
          <w:rFonts w:ascii="Palatino Linotype" w:hAnsi="Palatino Linotype" w:cs="Arial"/>
          <w:sz w:val="24"/>
          <w:szCs w:val="24"/>
        </w:rPr>
      </w:pPr>
    </w:p>
    <w:p w:rsidR="00DE153C" w:rsidRPr="000769E7" w:rsidRDefault="00DE153C" w:rsidP="00DE153C">
      <w:pPr>
        <w:spacing w:after="0" w:line="360" w:lineRule="auto"/>
        <w:ind w:right="-285" w:firstLine="709"/>
        <w:jc w:val="both"/>
        <w:rPr>
          <w:rFonts w:ascii="Palatino Linotype" w:hAnsi="Palatino Linotype" w:cs="Arial"/>
          <w:b/>
          <w:sz w:val="24"/>
          <w:szCs w:val="24"/>
        </w:rPr>
      </w:pPr>
      <w:r w:rsidRPr="000769E7">
        <w:rPr>
          <w:rFonts w:ascii="Palatino Linotype" w:hAnsi="Palatino Linotype" w:cs="Arial"/>
          <w:b/>
          <w:sz w:val="24"/>
          <w:szCs w:val="24"/>
        </w:rPr>
        <w:tab/>
      </w:r>
      <w:r w:rsidRPr="000769E7">
        <w:rPr>
          <w:rFonts w:ascii="Palatino Linotype" w:hAnsi="Palatino Linotype" w:cs="Arial"/>
          <w:b/>
          <w:sz w:val="24"/>
          <w:szCs w:val="24"/>
        </w:rPr>
        <w:tab/>
        <w:t>Pede deferimento.</w:t>
      </w:r>
    </w:p>
    <w:p w:rsidR="00DE153C" w:rsidRPr="000769E7" w:rsidRDefault="00DE153C" w:rsidP="00DE153C">
      <w:pPr>
        <w:spacing w:after="0" w:line="360" w:lineRule="auto"/>
        <w:ind w:right="-285" w:firstLine="708"/>
        <w:jc w:val="both"/>
        <w:rPr>
          <w:rFonts w:ascii="Palatino Linotype" w:hAnsi="Palatino Linotype" w:cs="Arial"/>
          <w:sz w:val="24"/>
          <w:szCs w:val="24"/>
        </w:rPr>
      </w:pPr>
      <w:r>
        <w:rPr>
          <w:rFonts w:ascii="Palatino Linotype" w:hAnsi="Palatino Linotype" w:cs="Arial"/>
          <w:sz w:val="24"/>
          <w:szCs w:val="24"/>
        </w:rPr>
        <w:tab/>
      </w:r>
      <w:r>
        <w:rPr>
          <w:rFonts w:ascii="Palatino Linotype" w:hAnsi="Palatino Linotype" w:cs="Arial"/>
          <w:sz w:val="24"/>
          <w:szCs w:val="24"/>
        </w:rPr>
        <w:tab/>
        <w:t>João Pessoa, 13</w:t>
      </w:r>
      <w:r w:rsidRPr="000769E7">
        <w:rPr>
          <w:rFonts w:ascii="Palatino Linotype" w:hAnsi="Palatino Linotype" w:cs="Arial"/>
          <w:sz w:val="24"/>
          <w:szCs w:val="24"/>
        </w:rPr>
        <w:t xml:space="preserve"> de </w:t>
      </w:r>
      <w:r w:rsidR="00377A6F">
        <w:rPr>
          <w:rFonts w:ascii="Palatino Linotype" w:hAnsi="Palatino Linotype" w:cs="Arial"/>
          <w:sz w:val="24"/>
          <w:szCs w:val="24"/>
        </w:rPr>
        <w:t>agosto</w:t>
      </w:r>
      <w:r w:rsidR="00783062">
        <w:rPr>
          <w:rFonts w:ascii="Palatino Linotype" w:hAnsi="Palatino Linotype" w:cs="Arial"/>
          <w:sz w:val="24"/>
          <w:szCs w:val="24"/>
        </w:rPr>
        <w:t xml:space="preserve"> de 2019</w:t>
      </w:r>
      <w:bookmarkStart w:id="0" w:name="_GoBack"/>
      <w:bookmarkEnd w:id="0"/>
    </w:p>
    <w:p w:rsidR="00DE153C" w:rsidRPr="000769E7" w:rsidRDefault="00DE153C" w:rsidP="00DE153C">
      <w:pPr>
        <w:pStyle w:val="Ttulo2"/>
        <w:spacing w:before="0" w:after="0" w:line="360" w:lineRule="auto"/>
        <w:jc w:val="center"/>
        <w:rPr>
          <w:rFonts w:ascii="Palatino Linotype" w:eastAsia="Batang" w:hAnsi="Palatino Linotype" w:cs="Arial"/>
          <w:sz w:val="24"/>
          <w:szCs w:val="24"/>
        </w:rPr>
      </w:pPr>
    </w:p>
    <w:p w:rsidR="00DE153C" w:rsidRPr="000769E7" w:rsidRDefault="00DE153C" w:rsidP="00DE153C">
      <w:pPr>
        <w:spacing w:after="0" w:line="360" w:lineRule="auto"/>
        <w:rPr>
          <w:rFonts w:ascii="Palatino Linotype" w:hAnsi="Palatino Linotype" w:cs="Arial"/>
          <w:sz w:val="24"/>
          <w:szCs w:val="24"/>
        </w:rPr>
      </w:pPr>
    </w:p>
    <w:p w:rsidR="00DE153C" w:rsidRPr="000769E7" w:rsidRDefault="00DE153C" w:rsidP="00DE153C">
      <w:pPr>
        <w:spacing w:after="0" w:line="360" w:lineRule="auto"/>
        <w:rPr>
          <w:rFonts w:ascii="Palatino Linotype" w:hAnsi="Palatino Linotype" w:cs="Arial"/>
          <w:sz w:val="24"/>
          <w:szCs w:val="24"/>
        </w:rPr>
      </w:pPr>
    </w:p>
    <w:p w:rsidR="00DE153C" w:rsidRPr="000769E7" w:rsidRDefault="00DE153C" w:rsidP="00DE153C">
      <w:pPr>
        <w:pStyle w:val="Ttulo2"/>
        <w:spacing w:before="0" w:after="0" w:line="360" w:lineRule="auto"/>
        <w:jc w:val="center"/>
        <w:rPr>
          <w:rFonts w:ascii="Palatino Linotype" w:eastAsia="Batang" w:hAnsi="Palatino Linotype" w:cs="Arial"/>
          <w:i w:val="0"/>
          <w:sz w:val="24"/>
          <w:szCs w:val="24"/>
        </w:rPr>
      </w:pPr>
      <w:r w:rsidRPr="000769E7">
        <w:rPr>
          <w:rFonts w:ascii="Palatino Linotype" w:eastAsia="Batang" w:hAnsi="Palatino Linotype" w:cs="Arial"/>
          <w:sz w:val="24"/>
          <w:szCs w:val="24"/>
        </w:rPr>
        <w:t>Eugênio Gonçalves da Nóbrega</w:t>
      </w:r>
      <w:r w:rsidRPr="000769E7">
        <w:rPr>
          <w:rFonts w:ascii="Palatino Linotype" w:eastAsia="Batang" w:hAnsi="Palatino Linotype" w:cs="Arial"/>
          <w:sz w:val="24"/>
          <w:szCs w:val="24"/>
        </w:rPr>
        <w:tab/>
      </w:r>
    </w:p>
    <w:p w:rsidR="00DE153C" w:rsidRPr="000769E7" w:rsidRDefault="00DE153C" w:rsidP="00DE153C">
      <w:pPr>
        <w:pStyle w:val="Ttulo2"/>
        <w:spacing w:before="0" w:after="0" w:line="360" w:lineRule="auto"/>
        <w:ind w:left="708"/>
        <w:jc w:val="both"/>
        <w:rPr>
          <w:rFonts w:ascii="Palatino Linotype" w:eastAsia="Batang" w:hAnsi="Palatino Linotype" w:cs="Arial"/>
          <w:b w:val="0"/>
          <w:i w:val="0"/>
          <w:sz w:val="24"/>
          <w:szCs w:val="24"/>
        </w:rPr>
      </w:pPr>
      <w:r w:rsidRPr="000769E7">
        <w:rPr>
          <w:rFonts w:ascii="Palatino Linotype" w:eastAsia="Batang" w:hAnsi="Palatino Linotype" w:cs="Arial"/>
          <w:b w:val="0"/>
          <w:i w:val="0"/>
          <w:sz w:val="24"/>
          <w:szCs w:val="24"/>
        </w:rPr>
        <w:tab/>
      </w:r>
      <w:r w:rsidRPr="000769E7">
        <w:rPr>
          <w:rFonts w:ascii="Palatino Linotype" w:eastAsia="Batang" w:hAnsi="Palatino Linotype" w:cs="Arial"/>
          <w:b w:val="0"/>
          <w:i w:val="0"/>
          <w:sz w:val="24"/>
          <w:szCs w:val="24"/>
        </w:rPr>
        <w:tab/>
      </w:r>
      <w:r>
        <w:rPr>
          <w:rFonts w:ascii="Palatino Linotype" w:eastAsia="Batang" w:hAnsi="Palatino Linotype" w:cs="Arial"/>
          <w:b w:val="0"/>
          <w:i w:val="0"/>
          <w:sz w:val="24"/>
          <w:szCs w:val="24"/>
        </w:rPr>
        <w:t xml:space="preserve">                 </w:t>
      </w:r>
      <w:r w:rsidRPr="000769E7">
        <w:rPr>
          <w:rFonts w:ascii="Palatino Linotype" w:eastAsia="Batang" w:hAnsi="Palatino Linotype" w:cs="Arial"/>
          <w:b w:val="0"/>
          <w:i w:val="0"/>
          <w:sz w:val="24"/>
          <w:szCs w:val="24"/>
        </w:rPr>
        <w:t>OAB/PB nº 8028</w:t>
      </w:r>
      <w:r w:rsidRPr="000769E7">
        <w:rPr>
          <w:rFonts w:ascii="Palatino Linotype" w:eastAsia="Batang" w:hAnsi="Palatino Linotype" w:cs="Arial"/>
          <w:b w:val="0"/>
          <w:i w:val="0"/>
          <w:sz w:val="24"/>
          <w:szCs w:val="24"/>
        </w:rPr>
        <w:tab/>
      </w:r>
      <w:r w:rsidRPr="000769E7">
        <w:rPr>
          <w:rFonts w:ascii="Palatino Linotype" w:eastAsia="Batang" w:hAnsi="Palatino Linotype" w:cs="Arial"/>
          <w:b w:val="0"/>
          <w:i w:val="0"/>
          <w:sz w:val="24"/>
          <w:szCs w:val="24"/>
        </w:rPr>
        <w:tab/>
      </w:r>
    </w:p>
    <w:p w:rsidR="00DE153C" w:rsidRPr="000769E7" w:rsidRDefault="00DE153C" w:rsidP="00DE153C">
      <w:pPr>
        <w:spacing w:after="0" w:line="360" w:lineRule="auto"/>
        <w:ind w:right="-284"/>
        <w:jc w:val="both"/>
        <w:rPr>
          <w:rFonts w:ascii="Palatino Linotype" w:eastAsia="Batang" w:hAnsi="Palatino Linotype" w:cs="Arial"/>
          <w:spacing w:val="20"/>
          <w:sz w:val="24"/>
          <w:szCs w:val="24"/>
        </w:rPr>
      </w:pPr>
      <w:r w:rsidRPr="000769E7">
        <w:rPr>
          <w:rFonts w:ascii="Palatino Linotype" w:eastAsia="Batang" w:hAnsi="Palatino Linotype" w:cs="Arial"/>
          <w:spacing w:val="20"/>
          <w:sz w:val="24"/>
          <w:szCs w:val="24"/>
        </w:rPr>
        <w:tab/>
      </w:r>
    </w:p>
    <w:p w:rsidR="00DE153C" w:rsidRDefault="00DE153C" w:rsidP="00DE153C">
      <w:pPr>
        <w:spacing w:after="0" w:line="360" w:lineRule="auto"/>
        <w:ind w:right="-284"/>
        <w:jc w:val="both"/>
        <w:rPr>
          <w:rFonts w:ascii="Palatino Linotype" w:hAnsi="Palatino Linotype" w:cs="Arial"/>
          <w:b/>
          <w:sz w:val="24"/>
          <w:szCs w:val="24"/>
        </w:rPr>
      </w:pPr>
      <w:r w:rsidRPr="000769E7">
        <w:rPr>
          <w:rFonts w:ascii="Palatino Linotype" w:hAnsi="Palatino Linotype" w:cs="Arial"/>
          <w:b/>
          <w:sz w:val="24"/>
          <w:szCs w:val="24"/>
          <w:u w:val="single"/>
        </w:rPr>
        <w:t>Documentos acostados</w:t>
      </w:r>
      <w:r w:rsidRPr="000769E7">
        <w:rPr>
          <w:rFonts w:ascii="Palatino Linotype" w:hAnsi="Palatino Linotype" w:cs="Arial"/>
          <w:b/>
          <w:sz w:val="24"/>
          <w:szCs w:val="24"/>
        </w:rPr>
        <w:t>:</w:t>
      </w:r>
    </w:p>
    <w:p w:rsidR="00B643CA" w:rsidRDefault="00B643CA" w:rsidP="00DE153C">
      <w:pPr>
        <w:pStyle w:val="PargrafodaLista"/>
        <w:numPr>
          <w:ilvl w:val="0"/>
          <w:numId w:val="1"/>
        </w:numPr>
        <w:spacing w:after="0" w:line="360" w:lineRule="auto"/>
        <w:ind w:right="-284"/>
        <w:jc w:val="both"/>
        <w:rPr>
          <w:rFonts w:ascii="Palatino Linotype" w:hAnsi="Palatino Linotype" w:cs="Arial"/>
          <w:b/>
          <w:sz w:val="24"/>
          <w:szCs w:val="24"/>
        </w:rPr>
      </w:pPr>
      <w:r w:rsidRPr="00B643CA">
        <w:rPr>
          <w:rFonts w:ascii="Palatino Linotype" w:hAnsi="Palatino Linotype" w:cs="Arial"/>
          <w:b/>
          <w:sz w:val="24"/>
          <w:szCs w:val="24"/>
        </w:rPr>
        <w:lastRenderedPageBreak/>
        <w:t>Pauta da 1ª reunião ordinária dos Comitês Orçamentário e de Priorização do TJPB;</w:t>
      </w:r>
    </w:p>
    <w:p w:rsidR="00DE153C" w:rsidRDefault="00B643CA" w:rsidP="00DE153C">
      <w:pPr>
        <w:pStyle w:val="PargrafodaLista"/>
        <w:numPr>
          <w:ilvl w:val="0"/>
          <w:numId w:val="1"/>
        </w:numPr>
        <w:spacing w:after="0" w:line="360" w:lineRule="auto"/>
        <w:ind w:right="-284"/>
        <w:jc w:val="both"/>
        <w:rPr>
          <w:rFonts w:ascii="Palatino Linotype" w:hAnsi="Palatino Linotype" w:cs="Arial"/>
          <w:b/>
          <w:sz w:val="24"/>
          <w:szCs w:val="24"/>
        </w:rPr>
      </w:pPr>
      <w:r>
        <w:rPr>
          <w:rFonts w:ascii="Palatino Linotype" w:hAnsi="Palatino Linotype" w:cs="Arial"/>
          <w:b/>
          <w:sz w:val="24"/>
          <w:szCs w:val="24"/>
        </w:rPr>
        <w:t>Remessa de projeto de lei para a Assembleia Legislativa</w:t>
      </w:r>
      <w:r w:rsidR="00DE153C" w:rsidRPr="00B643CA">
        <w:rPr>
          <w:rFonts w:ascii="Palatino Linotype" w:hAnsi="Palatino Linotype" w:cs="Arial"/>
          <w:b/>
          <w:sz w:val="24"/>
          <w:szCs w:val="24"/>
        </w:rPr>
        <w:t>;</w:t>
      </w:r>
    </w:p>
    <w:p w:rsidR="00DE153C" w:rsidRDefault="00B643CA" w:rsidP="00DE153C">
      <w:pPr>
        <w:pStyle w:val="PargrafodaLista"/>
        <w:numPr>
          <w:ilvl w:val="0"/>
          <w:numId w:val="1"/>
        </w:numPr>
        <w:spacing w:after="0" w:line="360" w:lineRule="auto"/>
        <w:ind w:right="-284"/>
        <w:jc w:val="both"/>
        <w:rPr>
          <w:rFonts w:ascii="Palatino Linotype" w:hAnsi="Palatino Linotype" w:cs="Arial"/>
          <w:b/>
          <w:sz w:val="24"/>
          <w:szCs w:val="24"/>
        </w:rPr>
      </w:pPr>
      <w:r>
        <w:rPr>
          <w:rFonts w:ascii="Palatino Linotype" w:hAnsi="Palatino Linotype" w:cs="Arial"/>
          <w:b/>
          <w:sz w:val="24"/>
          <w:szCs w:val="24"/>
        </w:rPr>
        <w:t>Excerto do relatório da inspeção do CNJ no TJPB</w:t>
      </w:r>
      <w:r w:rsidR="00D67E5D">
        <w:rPr>
          <w:rFonts w:ascii="Palatino Linotype" w:hAnsi="Palatino Linotype" w:cs="Arial"/>
          <w:b/>
          <w:sz w:val="24"/>
          <w:szCs w:val="24"/>
        </w:rPr>
        <w:t>, no que diz respeito à força de trabalho nos gabinetes do 2º grau</w:t>
      </w:r>
      <w:r w:rsidR="00DE153C">
        <w:rPr>
          <w:rFonts w:ascii="Palatino Linotype" w:hAnsi="Palatino Linotype" w:cs="Arial"/>
          <w:b/>
          <w:sz w:val="24"/>
          <w:szCs w:val="24"/>
        </w:rPr>
        <w:t>;</w:t>
      </w:r>
    </w:p>
    <w:p w:rsidR="00DE153C" w:rsidRDefault="00D67E5D" w:rsidP="00DE153C">
      <w:pPr>
        <w:pStyle w:val="PargrafodaLista"/>
        <w:numPr>
          <w:ilvl w:val="0"/>
          <w:numId w:val="1"/>
        </w:numPr>
        <w:spacing w:after="0" w:line="360" w:lineRule="auto"/>
        <w:ind w:right="-284"/>
        <w:jc w:val="both"/>
        <w:rPr>
          <w:rFonts w:ascii="Palatino Linotype" w:hAnsi="Palatino Linotype" w:cs="Arial"/>
          <w:b/>
          <w:sz w:val="24"/>
          <w:szCs w:val="24"/>
        </w:rPr>
      </w:pPr>
      <w:r>
        <w:rPr>
          <w:rFonts w:ascii="Palatino Linotype" w:hAnsi="Palatino Linotype" w:cs="Arial"/>
          <w:b/>
          <w:sz w:val="24"/>
          <w:szCs w:val="24"/>
        </w:rPr>
        <w:t>Informações do TJPB sobre o não preenchimento de cargos da estrutura administrativa do 2º grau</w:t>
      </w:r>
      <w:r w:rsidR="00DE153C">
        <w:rPr>
          <w:rFonts w:ascii="Palatino Linotype" w:hAnsi="Palatino Linotype" w:cs="Arial"/>
          <w:b/>
          <w:sz w:val="24"/>
          <w:szCs w:val="24"/>
        </w:rPr>
        <w:t>;</w:t>
      </w:r>
    </w:p>
    <w:p w:rsidR="00DE153C" w:rsidRDefault="00D67E5D" w:rsidP="00DE153C">
      <w:pPr>
        <w:pStyle w:val="PargrafodaLista"/>
        <w:numPr>
          <w:ilvl w:val="0"/>
          <w:numId w:val="1"/>
        </w:numPr>
        <w:spacing w:after="0" w:line="360" w:lineRule="auto"/>
        <w:ind w:right="-284"/>
        <w:jc w:val="both"/>
        <w:rPr>
          <w:rFonts w:ascii="Palatino Linotype" w:hAnsi="Palatino Linotype" w:cs="Arial"/>
          <w:b/>
          <w:sz w:val="24"/>
          <w:szCs w:val="24"/>
        </w:rPr>
      </w:pPr>
      <w:r>
        <w:rPr>
          <w:rFonts w:ascii="Palatino Linotype" w:hAnsi="Palatino Linotype" w:cs="Arial"/>
          <w:b/>
          <w:sz w:val="24"/>
          <w:szCs w:val="24"/>
        </w:rPr>
        <w:t>Ata de AGE da AMPB na qual foi submetida proposta de acordo feita pela gestão anterior do TJPB</w:t>
      </w:r>
      <w:r w:rsidR="00DE153C">
        <w:rPr>
          <w:rFonts w:ascii="Palatino Linotype" w:hAnsi="Palatino Linotype" w:cs="Arial"/>
          <w:b/>
          <w:sz w:val="24"/>
          <w:szCs w:val="24"/>
        </w:rPr>
        <w:t>;</w:t>
      </w:r>
    </w:p>
    <w:sectPr w:rsidR="00DE153C" w:rsidSect="00142E3D">
      <w:headerReference w:type="default" r:id="rId12"/>
      <w:footerReference w:type="default" r:id="rId13"/>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49D" w:rsidRDefault="0050049D" w:rsidP="0070725F">
      <w:pPr>
        <w:spacing w:after="0" w:line="240" w:lineRule="auto"/>
      </w:pPr>
      <w:r>
        <w:separator/>
      </w:r>
    </w:p>
  </w:endnote>
  <w:endnote w:type="continuationSeparator" w:id="0">
    <w:p w:rsidR="0050049D" w:rsidRDefault="0050049D" w:rsidP="0070725F">
      <w:pPr>
        <w:spacing w:after="0" w:line="240" w:lineRule="auto"/>
      </w:pPr>
      <w:r>
        <w:continuationSeparator/>
      </w:r>
    </w:p>
  </w:endnote>
  <w:endnote w:id="1">
    <w:p w:rsidR="00142E3D" w:rsidRDefault="00142E3D" w:rsidP="0070725F">
      <w:pPr>
        <w:pStyle w:val="Textodenotadefim"/>
        <w:jc w:val="both"/>
        <w:rPr>
          <w:i/>
          <w:sz w:val="18"/>
          <w:szCs w:val="18"/>
        </w:rPr>
      </w:pPr>
      <w:r w:rsidRPr="0070725F">
        <w:rPr>
          <w:rStyle w:val="Refdenotadefim"/>
          <w:i/>
          <w:sz w:val="18"/>
          <w:szCs w:val="18"/>
        </w:rPr>
        <w:endnoteRef/>
      </w:r>
      <w:r w:rsidRPr="0070725F">
        <w:rPr>
          <w:i/>
          <w:sz w:val="18"/>
          <w:szCs w:val="18"/>
        </w:rPr>
        <w:t xml:space="preserve"> </w:t>
      </w:r>
      <w:r>
        <w:rPr>
          <w:i/>
          <w:sz w:val="18"/>
          <w:szCs w:val="18"/>
        </w:rPr>
        <w:t>“</w:t>
      </w:r>
      <w:r w:rsidRPr="0070725F">
        <w:rPr>
          <w:i/>
          <w:sz w:val="18"/>
          <w:szCs w:val="18"/>
        </w:rPr>
        <w:t xml:space="preserve">Art. 242. Ficam reservados, nos Bancos de Recursos Humanos das Comarcas-sede da Primeira e Segunda Circunscrições Judiciárias, 35 (trinta e cinco) cargos de Assessor de Gabinete do Juízo, sendo 21 (vinte e um) no da primeira e 14 (catorze) no da segunda Circunscrição Judiciária. </w:t>
      </w:r>
      <w:r w:rsidRPr="0070725F">
        <w:rPr>
          <w:b/>
          <w:i/>
          <w:sz w:val="18"/>
          <w:szCs w:val="18"/>
        </w:rPr>
        <w:t>(Redação dada pela LC nº 122, de 10-04-2014 – DO 11-04-2014, que em seu art. 2º criou mais 15 (quinze) cargos de Assessor de Gabinete de Juízo, Símbolo PJ-SFJ-300)</w:t>
      </w:r>
      <w:r w:rsidRPr="0070725F">
        <w:rPr>
          <w:i/>
          <w:sz w:val="18"/>
          <w:szCs w:val="18"/>
        </w:rPr>
        <w:t xml:space="preserve"> </w:t>
      </w:r>
    </w:p>
    <w:p w:rsidR="00142E3D" w:rsidRDefault="00142E3D" w:rsidP="0070725F">
      <w:pPr>
        <w:pStyle w:val="Textodenotadefim"/>
        <w:jc w:val="both"/>
        <w:rPr>
          <w:i/>
          <w:sz w:val="18"/>
          <w:szCs w:val="18"/>
        </w:rPr>
      </w:pPr>
    </w:p>
    <w:p w:rsidR="00142E3D" w:rsidRDefault="00142E3D" w:rsidP="0070725F">
      <w:pPr>
        <w:pStyle w:val="Textodenotadefim"/>
        <w:jc w:val="both"/>
        <w:rPr>
          <w:i/>
          <w:sz w:val="18"/>
          <w:szCs w:val="18"/>
        </w:rPr>
      </w:pPr>
      <w:r w:rsidRPr="0070725F">
        <w:rPr>
          <w:i/>
          <w:sz w:val="18"/>
          <w:szCs w:val="18"/>
        </w:rPr>
        <w:t xml:space="preserve">Parágrafo único. Os ocupantes dos cargos de Assessor de Gabinete do Juízo, a que faz referência o caput deste artigo, serão designados pela Presidência do Tribunal de Justiça, a fim de auxiliarem: </w:t>
      </w:r>
    </w:p>
    <w:p w:rsidR="00142E3D" w:rsidRDefault="00142E3D" w:rsidP="0070725F">
      <w:pPr>
        <w:pStyle w:val="Textodenotadefim"/>
        <w:jc w:val="both"/>
        <w:rPr>
          <w:i/>
          <w:sz w:val="18"/>
          <w:szCs w:val="18"/>
        </w:rPr>
      </w:pPr>
      <w:r w:rsidRPr="0070725F">
        <w:rPr>
          <w:i/>
          <w:sz w:val="18"/>
          <w:szCs w:val="18"/>
        </w:rPr>
        <w:t xml:space="preserve">I - por tempo determinado, em regime de mutirão ou não, os juízes titulares das unidades judiciárias integrantes da Primeira e Segunda Circunscrições Judiciárias; </w:t>
      </w:r>
    </w:p>
    <w:p w:rsidR="00142E3D" w:rsidRDefault="00142E3D" w:rsidP="0070725F">
      <w:pPr>
        <w:pStyle w:val="Textodenotadefim"/>
        <w:jc w:val="both"/>
        <w:rPr>
          <w:i/>
          <w:sz w:val="18"/>
          <w:szCs w:val="18"/>
        </w:rPr>
      </w:pPr>
      <w:r w:rsidRPr="0070725F">
        <w:rPr>
          <w:i/>
          <w:sz w:val="18"/>
          <w:szCs w:val="18"/>
        </w:rPr>
        <w:t xml:space="preserve">II – a critério da Presidência do Tribunal de Justiça, os juízes titulares de qualquer outra unidade judiciária que apresente processo em atraso. </w:t>
      </w:r>
    </w:p>
    <w:p w:rsidR="00142E3D" w:rsidRPr="0070725F" w:rsidRDefault="00142E3D" w:rsidP="0070725F">
      <w:pPr>
        <w:pStyle w:val="Textodenotadefim"/>
        <w:jc w:val="both"/>
        <w:rPr>
          <w:b/>
          <w:i/>
          <w:sz w:val="18"/>
          <w:szCs w:val="18"/>
        </w:rPr>
      </w:pPr>
      <w:r w:rsidRPr="0070725F">
        <w:rPr>
          <w:i/>
          <w:sz w:val="18"/>
          <w:szCs w:val="18"/>
        </w:rPr>
        <w:t xml:space="preserve">Art. 243. Resolução do Tribunal de Justiça disporá sobre a forma de distribuição dos cargos de Assessor de Gabinete do Juízo pelas unidades judiciárias do Estado. </w:t>
      </w:r>
      <w:r w:rsidRPr="0070725F">
        <w:rPr>
          <w:b/>
          <w:i/>
          <w:sz w:val="18"/>
          <w:szCs w:val="18"/>
        </w:rPr>
        <w:t>(Regulamentado pela Res. nº 32, de 03 de agosto de 2011– DJ 09-08-2011, alterada pela Res. nº 28, de 08 de maio de 2013 – DJ 09-05-2013 e pela Res. nº 05, de 24 de fevereiro de 2016 – DJ 26- 02-2016)</w:t>
      </w:r>
      <w:r>
        <w:rPr>
          <w:b/>
          <w:i/>
          <w:sz w:val="18"/>
          <w:szCs w:val="18"/>
        </w:rPr>
        <w:t>”</w:t>
      </w:r>
      <w:r w:rsidRPr="0070725F">
        <w:rPr>
          <w:b/>
          <w:i/>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E3D" w:rsidRDefault="0050049D">
    <w:pPr>
      <w:pStyle w:val="Rodap"/>
      <w:jc w:val="right"/>
    </w:pPr>
    <w:r>
      <w:fldChar w:fldCharType="begin"/>
    </w:r>
    <w:r>
      <w:instrText xml:space="preserve"> PAGE   \* MERGEFORMAT </w:instrText>
    </w:r>
    <w:r>
      <w:fldChar w:fldCharType="separate"/>
    </w:r>
    <w:r w:rsidR="00783062">
      <w:rPr>
        <w:noProof/>
      </w:rPr>
      <w:t>13</w:t>
    </w:r>
    <w:r>
      <w:rPr>
        <w:noProof/>
      </w:rPr>
      <w:fldChar w:fldCharType="end"/>
    </w:r>
  </w:p>
  <w:p w:rsidR="00142E3D" w:rsidRDefault="00142E3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49D" w:rsidRDefault="0050049D" w:rsidP="0070725F">
      <w:pPr>
        <w:spacing w:after="0" w:line="240" w:lineRule="auto"/>
      </w:pPr>
      <w:r>
        <w:separator/>
      </w:r>
    </w:p>
  </w:footnote>
  <w:footnote w:type="continuationSeparator" w:id="0">
    <w:p w:rsidR="0050049D" w:rsidRDefault="0050049D" w:rsidP="00707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E3D" w:rsidRPr="003D2680" w:rsidRDefault="00142E3D" w:rsidP="00142E3D">
    <w:pPr>
      <w:pStyle w:val="Cabealho"/>
      <w:ind w:left="708" w:firstLine="4956"/>
    </w:pPr>
    <w:r>
      <w:object w:dxaOrig="9323" w:dyaOrig="3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15pt;height:49.95pt" o:ole="">
          <v:imagedata r:id="rId1" o:title=""/>
        </v:shape>
        <o:OLEObject Type="Embed" ProgID="CorelDRAW.Graphic.11" ShapeID="_x0000_i1025" DrawAspect="Content" ObjectID="_162860133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31D3"/>
    <w:multiLevelType w:val="hybridMultilevel"/>
    <w:tmpl w:val="B1CEB0D4"/>
    <w:lvl w:ilvl="0" w:tplc="7B6AFA4A">
      <w:start w:val="1"/>
      <w:numFmt w:val="lowerLetter"/>
      <w:lvlText w:val="%1)"/>
      <w:lvlJc w:val="left"/>
      <w:pPr>
        <w:ind w:left="720" w:hanging="360"/>
      </w:pPr>
      <w:rPr>
        <w:rFonts w:hint="default"/>
        <w:b/>
        <w:sz w:val="3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5046E0B"/>
    <w:multiLevelType w:val="hybridMultilevel"/>
    <w:tmpl w:val="4D58B3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153C"/>
    <w:rsid w:val="00067059"/>
    <w:rsid w:val="00085DD5"/>
    <w:rsid w:val="00142E3D"/>
    <w:rsid w:val="00237E35"/>
    <w:rsid w:val="00300963"/>
    <w:rsid w:val="00377A6F"/>
    <w:rsid w:val="003844B9"/>
    <w:rsid w:val="003A1F26"/>
    <w:rsid w:val="004A6410"/>
    <w:rsid w:val="004C2392"/>
    <w:rsid w:val="0050049D"/>
    <w:rsid w:val="00534B99"/>
    <w:rsid w:val="006810F8"/>
    <w:rsid w:val="006B1A77"/>
    <w:rsid w:val="0070725F"/>
    <w:rsid w:val="00783062"/>
    <w:rsid w:val="007E194C"/>
    <w:rsid w:val="00824CE9"/>
    <w:rsid w:val="0088085D"/>
    <w:rsid w:val="008B59D6"/>
    <w:rsid w:val="00A72703"/>
    <w:rsid w:val="00B643CA"/>
    <w:rsid w:val="00BB6E5F"/>
    <w:rsid w:val="00C54582"/>
    <w:rsid w:val="00C87993"/>
    <w:rsid w:val="00D04B4A"/>
    <w:rsid w:val="00D67E5D"/>
    <w:rsid w:val="00DE153C"/>
    <w:rsid w:val="00DE4E38"/>
    <w:rsid w:val="00E05FA9"/>
    <w:rsid w:val="00E21305"/>
    <w:rsid w:val="00E81DC8"/>
    <w:rsid w:val="00F047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53C"/>
    <w:rPr>
      <w:rFonts w:ascii="Calibri" w:eastAsia="Calibri" w:hAnsi="Calibri" w:cs="Times New Roman"/>
    </w:rPr>
  </w:style>
  <w:style w:type="paragraph" w:styleId="Ttulo2">
    <w:name w:val="heading 2"/>
    <w:basedOn w:val="Normal"/>
    <w:next w:val="Normal"/>
    <w:link w:val="Ttulo2Char"/>
    <w:uiPriority w:val="9"/>
    <w:qFormat/>
    <w:rsid w:val="00DE153C"/>
    <w:pPr>
      <w:keepNext/>
      <w:spacing w:before="240" w:after="60"/>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DE153C"/>
    <w:rPr>
      <w:rFonts w:ascii="Cambria" w:eastAsia="Times New Roman" w:hAnsi="Cambria" w:cs="Times New Roman"/>
      <w:b/>
      <w:bCs/>
      <w:i/>
      <w:iCs/>
      <w:sz w:val="28"/>
      <w:szCs w:val="28"/>
    </w:rPr>
  </w:style>
  <w:style w:type="paragraph" w:styleId="Rodap">
    <w:name w:val="footer"/>
    <w:basedOn w:val="Normal"/>
    <w:link w:val="RodapChar"/>
    <w:uiPriority w:val="99"/>
    <w:rsid w:val="00DE153C"/>
    <w:pPr>
      <w:tabs>
        <w:tab w:val="center" w:pos="4419"/>
        <w:tab w:val="right" w:pos="8838"/>
      </w:tabs>
      <w:spacing w:after="0" w:line="240" w:lineRule="auto"/>
    </w:pPr>
    <w:rPr>
      <w:rFonts w:ascii="Times New Roman" w:eastAsia="Times New Roman" w:hAnsi="Times New Roman"/>
      <w:sz w:val="24"/>
      <w:szCs w:val="20"/>
      <w:lang w:eastAsia="pt-BR"/>
    </w:rPr>
  </w:style>
  <w:style w:type="character" w:customStyle="1" w:styleId="RodapChar">
    <w:name w:val="Rodapé Char"/>
    <w:basedOn w:val="Fontepargpadro"/>
    <w:link w:val="Rodap"/>
    <w:uiPriority w:val="99"/>
    <w:rsid w:val="00DE153C"/>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unhideWhenUsed/>
    <w:rsid w:val="00DE153C"/>
    <w:pPr>
      <w:tabs>
        <w:tab w:val="center" w:pos="4252"/>
        <w:tab w:val="right" w:pos="8504"/>
      </w:tabs>
    </w:pPr>
  </w:style>
  <w:style w:type="character" w:customStyle="1" w:styleId="CabealhoChar">
    <w:name w:val="Cabeçalho Char"/>
    <w:basedOn w:val="Fontepargpadro"/>
    <w:link w:val="Cabealho"/>
    <w:uiPriority w:val="99"/>
    <w:semiHidden/>
    <w:rsid w:val="00DE153C"/>
    <w:rPr>
      <w:rFonts w:ascii="Calibri" w:eastAsia="Calibri" w:hAnsi="Calibri" w:cs="Times New Roman"/>
    </w:rPr>
  </w:style>
  <w:style w:type="paragraph" w:customStyle="1" w:styleId="Corpo">
    <w:name w:val="Corpo"/>
    <w:rsid w:val="00DE153C"/>
    <w:pPr>
      <w:spacing w:after="160" w:line="256" w:lineRule="auto"/>
    </w:pPr>
    <w:rPr>
      <w:rFonts w:ascii="Calibri" w:eastAsia="Calibri" w:hAnsi="Calibri" w:cs="Calibri"/>
      <w:color w:val="000000"/>
      <w:u w:color="000000"/>
      <w:lang w:eastAsia="pt-BR"/>
    </w:rPr>
  </w:style>
  <w:style w:type="paragraph" w:styleId="PargrafodaLista">
    <w:name w:val="List Paragraph"/>
    <w:basedOn w:val="Normal"/>
    <w:uiPriority w:val="34"/>
    <w:qFormat/>
    <w:rsid w:val="00DE153C"/>
    <w:pPr>
      <w:ind w:left="720"/>
      <w:contextualSpacing/>
    </w:pPr>
  </w:style>
  <w:style w:type="character" w:styleId="Hyperlink">
    <w:name w:val="Hyperlink"/>
    <w:basedOn w:val="Fontepargpadro"/>
    <w:uiPriority w:val="99"/>
    <w:unhideWhenUsed/>
    <w:rsid w:val="004A6410"/>
    <w:rPr>
      <w:color w:val="0000FF"/>
      <w:u w:val="single"/>
    </w:rPr>
  </w:style>
  <w:style w:type="paragraph" w:styleId="Textodebalo">
    <w:name w:val="Balloon Text"/>
    <w:basedOn w:val="Normal"/>
    <w:link w:val="TextodebaloChar"/>
    <w:uiPriority w:val="99"/>
    <w:semiHidden/>
    <w:unhideWhenUsed/>
    <w:rsid w:val="008808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85D"/>
    <w:rPr>
      <w:rFonts w:ascii="Tahoma" w:eastAsia="Calibri" w:hAnsi="Tahoma" w:cs="Tahoma"/>
      <w:sz w:val="16"/>
      <w:szCs w:val="16"/>
    </w:rPr>
  </w:style>
  <w:style w:type="character" w:styleId="HiperlinkVisitado">
    <w:name w:val="FollowedHyperlink"/>
    <w:basedOn w:val="Fontepargpadro"/>
    <w:uiPriority w:val="99"/>
    <w:semiHidden/>
    <w:unhideWhenUsed/>
    <w:rsid w:val="00A72703"/>
    <w:rPr>
      <w:color w:val="800080" w:themeColor="followedHyperlink"/>
      <w:u w:val="single"/>
    </w:rPr>
  </w:style>
  <w:style w:type="paragraph" w:styleId="Textodenotadefim">
    <w:name w:val="endnote text"/>
    <w:basedOn w:val="Normal"/>
    <w:link w:val="TextodenotadefimChar"/>
    <w:uiPriority w:val="99"/>
    <w:semiHidden/>
    <w:unhideWhenUsed/>
    <w:rsid w:val="0070725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0725F"/>
    <w:rPr>
      <w:rFonts w:ascii="Calibri" w:eastAsia="Calibri" w:hAnsi="Calibri" w:cs="Times New Roman"/>
      <w:sz w:val="20"/>
      <w:szCs w:val="20"/>
    </w:rPr>
  </w:style>
  <w:style w:type="character" w:styleId="Refdenotadefim">
    <w:name w:val="endnote reference"/>
    <w:basedOn w:val="Fontepargpadro"/>
    <w:uiPriority w:val="99"/>
    <w:semiHidden/>
    <w:unhideWhenUsed/>
    <w:rsid w:val="007072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b.com.br/cnj-divulga-painel-de-acompanhamento-da-politica-nacional-de-priorizacao-do-primeiro-grau/?doing_wp_cron=1565218844.210859060287475585937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jpb.jus.br/programas-e-projetos/priorizacao-de-primeiro-grau/eleicao-do-comite-de-priorizacao" TargetMode="External"/><Relationship Id="rId4" Type="http://schemas.microsoft.com/office/2007/relationships/stylesWithEffects" Target="stylesWithEffects.xml"/><Relationship Id="rId9" Type="http://schemas.openxmlformats.org/officeDocument/2006/relationships/hyperlink" Target="https://www.tjpb.jus.br/noticia/comissao-especial-divulga-lista-de-juizes-e-servidores-para-o-compor-comite-orcamentario-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D9EAA-3F3C-4AF0-94CB-138A42E4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14</Pages>
  <Words>3181</Words>
  <Characters>17180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Imprensa</cp:lastModifiedBy>
  <cp:revision>4</cp:revision>
  <cp:lastPrinted>2019-08-13T19:32:00Z</cp:lastPrinted>
  <dcterms:created xsi:type="dcterms:W3CDTF">2019-08-13T12:11:00Z</dcterms:created>
  <dcterms:modified xsi:type="dcterms:W3CDTF">2019-08-29T19:29:00Z</dcterms:modified>
</cp:coreProperties>
</file>